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3"/>
        <w:rPr>
          <w:rFonts w:ascii="宋体" w:cs="宋体"/>
        </w:rPr>
      </w:pPr>
      <w:bookmarkStart w:id="0" w:name="OLE_LINK1"/>
      <w:r>
        <w:rPr>
          <w:rFonts w:hint="eastAsia" w:ascii="宋体" w:cs="宋体"/>
          <w:lang w:eastAsia="zh-TW"/>
        </w:rPr>
        <w:t>《凡物流形》</w:t>
      </w:r>
      <w:r>
        <w:rPr>
          <w:rFonts w:hint="eastAsia" w:ascii="宋体" w:cs="宋体"/>
        </w:rPr>
        <w:t>“一”</w:t>
      </w:r>
      <w:r>
        <w:rPr>
          <w:rFonts w:hint="eastAsia" w:ascii="宋体" w:cs="宋体"/>
          <w:lang w:eastAsia="zh-TW"/>
        </w:rPr>
        <w:t>與</w:t>
      </w:r>
      <w:r>
        <w:rPr>
          <w:rFonts w:hint="eastAsia" w:ascii="宋体" w:cs="宋体"/>
        </w:rPr>
        <w:t>“無爲”</w:t>
      </w:r>
      <w:r>
        <w:rPr>
          <w:rFonts w:hint="eastAsia" w:ascii="宋体" w:cs="宋体"/>
          <w:lang w:eastAsia="zh-TW"/>
        </w:rPr>
        <w:t>的思想考</w:t>
      </w:r>
    </w:p>
    <w:p>
      <w:pPr>
        <w:pStyle w:val="45"/>
        <w:rPr>
          <w:rFonts w:cs="宋体"/>
          <w:lang w:eastAsia="zh-CN"/>
        </w:rPr>
      </w:pPr>
    </w:p>
    <w:p>
      <w:pPr>
        <w:pStyle w:val="45"/>
        <w:rPr>
          <w:rFonts w:cs="宋体"/>
          <w:szCs w:val="28"/>
          <w:lang w:eastAsia="zh-CN"/>
        </w:rPr>
      </w:pPr>
      <w:r>
        <w:rPr>
          <w:rFonts w:hint="eastAsia" w:cs="宋体"/>
          <w:szCs w:val="28"/>
        </w:rPr>
        <w:t>熊奕淞</w:t>
      </w:r>
    </w:p>
    <w:p>
      <w:pPr>
        <w:pStyle w:val="45"/>
        <w:rPr>
          <w:rStyle w:val="51"/>
          <w:rFonts w:cs="宋体"/>
          <w:szCs w:val="28"/>
          <w:lang w:eastAsia="zh-CN"/>
        </w:rPr>
      </w:pPr>
    </w:p>
    <w:bookmarkEnd w:id="0"/>
    <w:p>
      <w:pPr>
        <w:pStyle w:val="43"/>
        <w:rPr>
          <w:rFonts w:ascii="宋体" w:cs="宋体"/>
          <w:sz w:val="28"/>
          <w:szCs w:val="28"/>
          <w:lang w:eastAsia="zh-TW"/>
        </w:rPr>
      </w:pPr>
      <w:r>
        <w:rPr>
          <w:rFonts w:hint="eastAsia" w:ascii="宋体" w:cs="宋体"/>
          <w:sz w:val="28"/>
          <w:szCs w:val="28"/>
          <w:lang w:eastAsia="zh-TW"/>
        </w:rPr>
        <w:t>緒論</w:t>
      </w:r>
    </w:p>
    <w:p>
      <w:pPr>
        <w:rPr>
          <w:rFonts w:cs="宋体"/>
          <w:sz w:val="28"/>
          <w:szCs w:val="28"/>
        </w:rPr>
      </w:pPr>
    </w:p>
    <w:p>
      <w:pPr>
        <w:pStyle w:val="41"/>
        <w:ind w:firstLine="560"/>
        <w:rPr>
          <w:lang w:eastAsia="zh-TW"/>
        </w:rPr>
      </w:pPr>
      <w:r>
        <w:rPr>
          <w:rFonts w:hint="eastAsia"/>
          <w:lang w:eastAsia="zh-TW"/>
        </w:rPr>
        <w:t>楚簡《凡物流形》</w:t>
      </w:r>
      <w:r>
        <w:rPr>
          <w:rStyle w:val="36"/>
          <w:rFonts w:hint="eastAsia" w:cs="宋体"/>
          <w:szCs w:val="28"/>
          <w:lang w:eastAsia="zh-TW" w:bidi="ar"/>
        </w:rPr>
        <w:footnoteReference w:id="0"/>
      </w:r>
      <w:r>
        <w:rPr>
          <w:rFonts w:hint="eastAsia"/>
          <w:lang w:eastAsia="zh-TW"/>
        </w:rPr>
        <w:t>收錄於《上海博物館藏戰國楚竹書（七）》。自二〇〇八年公開以來，學界對其文字釋義及簡序等問題進行了廣泛地探討。就簡序問題，目前學者間已大致達成了共識</w:t>
      </w:r>
      <w:r>
        <w:rPr>
          <w:rStyle w:val="36"/>
          <w:rFonts w:hint="eastAsia" w:cs="宋体"/>
          <w:szCs w:val="28"/>
          <w:lang w:eastAsia="zh-TW"/>
        </w:rPr>
        <w:footnoteReference w:id="1"/>
      </w:r>
      <w:r>
        <w:rPr>
          <w:rFonts w:hint="eastAsia"/>
          <w:lang w:eastAsia="zh-TW"/>
        </w:rPr>
        <w:t>。不過，關於文字釋讀及章句的解釋仍有諸多疑問以待解決。而受限於對其文意的理解，有關該篇思想結構及思想特徵的研究尚未得到深入地展開。</w:t>
      </w:r>
    </w:p>
    <w:p>
      <w:pPr>
        <w:pStyle w:val="41"/>
        <w:ind w:firstLine="560"/>
        <w:rPr>
          <w:lang w:eastAsia="zh-TW"/>
        </w:rPr>
      </w:pPr>
    </w:p>
    <w:p>
      <w:pPr>
        <w:pStyle w:val="41"/>
        <w:bidi w:val="0"/>
        <w:rPr>
          <w:lang w:eastAsia="zh-TW"/>
        </w:rPr>
      </w:pPr>
      <w:r>
        <w:rPr>
          <w:rFonts w:hint="eastAsia"/>
          <w:lang w:eastAsia="zh-TW"/>
        </w:rPr>
        <w:t>關於《凡物流形》的文本結構，原整理者曹錦炎</w:t>
      </w:r>
      <w:r>
        <w:rPr>
          <w:rStyle w:val="36"/>
          <w:rFonts w:hint="eastAsia" w:cs="宋体"/>
          <w:szCs w:val="28"/>
          <w:lang w:eastAsia="zh-TW" w:bidi="ar"/>
        </w:rPr>
        <w:footnoteReference w:id="2"/>
      </w:r>
      <w:r>
        <w:rPr>
          <w:rFonts w:hint="eastAsia"/>
          <w:lang w:eastAsia="zh-TW"/>
        </w:rPr>
        <w:t>首先指出該篇是</w:t>
      </w:r>
      <w:r>
        <w:rPr>
          <w:rFonts w:hint="eastAsia"/>
        </w:rPr>
        <w:t>“有層次有結構的長詩”</w:t>
      </w:r>
      <w:r>
        <w:rPr>
          <w:rFonts w:hint="eastAsia"/>
          <w:lang w:eastAsia="zh-TW"/>
        </w:rPr>
        <w:t>。他將全篇分爲九章，並將與自然規則有關的前四章視爲第一部分，將與人事有關的後五章視爲第二部分。淺野裕一</w:t>
      </w:r>
      <w:r>
        <w:rPr>
          <w:rStyle w:val="36"/>
          <w:rFonts w:hint="eastAsia" w:cs="宋体"/>
          <w:szCs w:val="28"/>
          <w:lang w:eastAsia="zh-TW"/>
        </w:rPr>
        <w:footnoteReference w:id="3"/>
      </w:r>
      <w:r>
        <w:rPr>
          <w:rFonts w:hint="eastAsia"/>
          <w:lang w:eastAsia="zh-TW"/>
        </w:rPr>
        <w:t>則認爲，上述兩個部分爲“兩種性質不同的文獻，因都涉及草木、禽獸等相關內容，在反復轉抄的過程中產生混亂被連接到了一起”。他進一步將這兩部分分別冠以</w:t>
      </w:r>
      <w:r>
        <w:rPr>
          <w:rFonts w:hint="eastAsia"/>
          <w:lang w:eastAsia="zh-CN"/>
        </w:rPr>
        <w:t>《</w:t>
      </w:r>
      <w:r>
        <w:rPr>
          <w:rFonts w:hint="eastAsia"/>
          <w:lang w:eastAsia="zh-TW"/>
        </w:rPr>
        <w:t>問物</w:t>
      </w:r>
      <w:r>
        <w:rPr>
          <w:rFonts w:hint="eastAsia"/>
          <w:lang w:eastAsia="zh-CN"/>
        </w:rPr>
        <w:t>》</w:t>
      </w:r>
      <w:r>
        <w:rPr>
          <w:rFonts w:hint="eastAsia"/>
          <w:lang w:eastAsia="zh-TW"/>
        </w:rPr>
        <w:t>和</w:t>
      </w:r>
      <w:r>
        <w:rPr>
          <w:rFonts w:hint="eastAsia"/>
          <w:lang w:eastAsia="zh-CN"/>
        </w:rPr>
        <w:t>《</w:t>
      </w:r>
      <w:r>
        <w:rPr>
          <w:rFonts w:hint="eastAsia"/>
          <w:lang w:eastAsia="zh-TW"/>
        </w:rPr>
        <w:t>識一</w:t>
      </w:r>
      <w:r>
        <w:rPr>
          <w:rFonts w:hint="eastAsia"/>
          <w:lang w:eastAsia="zh-CN"/>
        </w:rPr>
        <w:t>》</w:t>
      </w:r>
      <w:r>
        <w:rPr>
          <w:rFonts w:hint="eastAsia"/>
          <w:lang w:eastAsia="zh-TW"/>
        </w:rPr>
        <w:t>之名，並認爲</w:t>
      </w:r>
      <w:r>
        <w:rPr>
          <w:rFonts w:hint="eastAsia"/>
          <w:lang w:eastAsia="zh-CN"/>
        </w:rPr>
        <w:t>《</w:t>
      </w:r>
      <w:r>
        <w:rPr>
          <w:rFonts w:hint="eastAsia"/>
          <w:lang w:eastAsia="zh-TW"/>
        </w:rPr>
        <w:t>識一</w:t>
      </w:r>
      <w:r>
        <w:rPr>
          <w:rFonts w:hint="eastAsia"/>
          <w:lang w:eastAsia="zh-CN"/>
        </w:rPr>
        <w:t>》</w:t>
      </w:r>
      <w:r>
        <w:rPr>
          <w:rFonts w:hint="eastAsia"/>
          <w:lang w:eastAsia="zh-TW"/>
        </w:rPr>
        <w:t>是道家系統的思想文獻，而</w:t>
      </w:r>
      <w:r>
        <w:rPr>
          <w:rFonts w:hint="eastAsia"/>
          <w:lang w:eastAsia="zh-CN"/>
        </w:rPr>
        <w:t>《</w:t>
      </w:r>
      <w:r>
        <w:rPr>
          <w:rFonts w:hint="eastAsia"/>
          <w:lang w:eastAsia="zh-TW"/>
        </w:rPr>
        <w:t>問物</w:t>
      </w:r>
      <w:r>
        <w:rPr>
          <w:rFonts w:hint="eastAsia"/>
          <w:lang w:eastAsia="zh-CN"/>
        </w:rPr>
        <w:t>》</w:t>
      </w:r>
      <w:r>
        <w:rPr>
          <w:rFonts w:hint="eastAsia"/>
          <w:lang w:eastAsia="zh-TW"/>
        </w:rPr>
        <w:t>則類似《楚辭</w:t>
      </w:r>
      <w:r>
        <w:rPr>
          <w:rFonts w:hint="eastAsia"/>
        </w:rPr>
        <w:t>・</w:t>
      </w:r>
      <w:r>
        <w:rPr>
          <w:rFonts w:hint="eastAsia"/>
          <w:lang w:eastAsia="zh-TW"/>
        </w:rPr>
        <w:t>天問》。另一方面，曹峰</w:t>
      </w:r>
      <w:r>
        <w:rPr>
          <w:rStyle w:val="36"/>
          <w:rFonts w:hint="eastAsia" w:cs="宋体"/>
          <w:szCs w:val="28"/>
          <w:lang w:eastAsia="zh-TW"/>
        </w:rPr>
        <w:footnoteReference w:id="4"/>
      </w:r>
      <w:r>
        <w:rPr>
          <w:rFonts w:hint="eastAsia"/>
          <w:lang w:eastAsia="zh-TW"/>
        </w:rPr>
        <w:t>雖亦認爲全篇可分爲兩個部分，但並不主張將這兩個部分視爲不同由來的文獻。他從上半部分“草木奚得而生、禽獸奚得鳴”與下半部分“草木得之以生、禽獸得之以鳴”的對應關係出發，詳細論證了該篇下半部分是爲對上半部分所提問題的回答，並由此認爲從文本結構來看上下兩部分爲一個整體。不過，曹峰同時亦認爲《凡物流形》的“文本是一個松散的結構，是作者出於某種需要，把相關的內容集合到一起”</w:t>
      </w:r>
      <w:r>
        <w:rPr>
          <w:rStyle w:val="36"/>
          <w:rFonts w:hint="eastAsia" w:cs="宋体"/>
          <w:color w:val="000000"/>
          <w:szCs w:val="28"/>
          <w:lang w:eastAsia="zh-TW"/>
        </w:rPr>
        <w:footnoteReference w:id="5"/>
      </w:r>
      <w:r>
        <w:rPr>
          <w:rFonts w:hint="eastAsia"/>
          <w:lang w:eastAsia="zh-TW"/>
        </w:rPr>
        <w:t>，並沒有對其整體的思想結構進行進一步的討論。本文將在曹峰等學者將《凡物流形》的文本視爲一個整體的基礎上，把主要目光投向該篇後半部分反復出現的“一”這一概念。在對相關各小節進行逐一解析的基礎上，對《凡物流形》全篇的思想內容及思想結構加以整理，並對其中包含的“無爲”思想的特徵及其在思想史上的意義進行探討。</w:t>
      </w:r>
    </w:p>
    <w:p>
      <w:pPr>
        <w:pStyle w:val="41"/>
        <w:bidi w:val="0"/>
        <w:rPr>
          <w:lang w:eastAsia="zh-TW"/>
        </w:rPr>
      </w:pPr>
    </w:p>
    <w:p>
      <w:pPr>
        <w:pStyle w:val="43"/>
        <w:rPr>
          <w:rFonts w:ascii="宋体" w:cs="宋体"/>
          <w:sz w:val="28"/>
          <w:szCs w:val="28"/>
          <w:lang w:eastAsia="zh-TW"/>
        </w:rPr>
      </w:pPr>
      <w:r>
        <w:rPr>
          <w:rFonts w:hint="eastAsia" w:ascii="宋体" w:cs="宋体"/>
          <w:sz w:val="28"/>
          <w:szCs w:val="28"/>
          <w:lang w:eastAsia="zh-TW"/>
        </w:rPr>
        <w:t>一、形而上學的</w:t>
      </w:r>
      <w:r>
        <w:rPr>
          <w:rFonts w:hint="eastAsia" w:ascii="宋体" w:cs="宋体"/>
          <w:sz w:val="28"/>
          <w:szCs w:val="28"/>
        </w:rPr>
        <w:t>“一”</w:t>
      </w:r>
      <w:r>
        <w:rPr>
          <w:rFonts w:hint="eastAsia" w:ascii="宋体" w:cs="宋体"/>
          <w:sz w:val="28"/>
          <w:szCs w:val="28"/>
          <w:lang w:eastAsia="zh-TW"/>
        </w:rPr>
        <w:t>的思想</w:t>
      </w:r>
    </w:p>
    <w:p>
      <w:pPr>
        <w:rPr>
          <w:rFonts w:cs="宋体"/>
          <w:color w:val="000000"/>
          <w:sz w:val="28"/>
          <w:szCs w:val="28"/>
          <w:lang w:eastAsia="zh-TW"/>
        </w:rPr>
      </w:pPr>
    </w:p>
    <w:p>
      <w:pPr>
        <w:pStyle w:val="41"/>
        <w:ind w:firstLine="560"/>
        <w:rPr>
          <w:lang w:eastAsia="zh-TW"/>
        </w:rPr>
      </w:pPr>
      <w:r>
        <w:rPr>
          <w:rFonts w:hint="eastAsia"/>
          <w:lang w:eastAsia="zh-TW"/>
        </w:rPr>
        <w:t>《凡物流形》開篇便提出了如下兩個問題。</w:t>
      </w:r>
    </w:p>
    <w:p>
      <w:pPr>
        <w:ind w:firstLine="560" w:firstLineChars="200"/>
        <w:rPr>
          <w:rFonts w:ascii="MingLiU" w:hAnsi="MingLiU" w:eastAsia="MingLiU" w:cs="MingLiU"/>
          <w:color w:val="000000"/>
          <w:sz w:val="28"/>
          <w:szCs w:val="28"/>
          <w:lang w:eastAsia="zh-TW" w:bidi="ar"/>
        </w:rPr>
      </w:pPr>
    </w:p>
    <w:p>
      <w:pPr>
        <w:pStyle w:val="37"/>
        <w:spacing w:before="540" w:after="540"/>
        <w:ind w:firstLine="496"/>
        <w:rPr>
          <w:rFonts w:ascii="MingLiU" w:hAnsi="MingLiU" w:eastAsia="MingLiU" w:cs="MingLiU"/>
          <w:color w:val="000000"/>
          <w:sz w:val="28"/>
          <w:szCs w:val="28"/>
        </w:rPr>
      </w:pPr>
      <w:r>
        <w:rPr>
          <w:rFonts w:hint="eastAsia"/>
        </w:rPr>
        <w:t>凡物流形，奚得而成？流形成體，奚得而不死？【簡１】</w:t>
      </w:r>
      <w:r>
        <w:rPr>
          <w:rStyle w:val="36"/>
          <w:rFonts w:hint="eastAsia"/>
        </w:rPr>
        <w:footnoteReference w:id="6"/>
      </w:r>
    </w:p>
    <w:p>
      <w:pPr>
        <w:ind w:firstLine="560" w:firstLineChars="200"/>
        <w:rPr>
          <w:rFonts w:ascii="MingLiU" w:hAnsi="MingLiU" w:eastAsia="MingLiU" w:cs="MingLiU"/>
          <w:color w:val="000000"/>
          <w:sz w:val="28"/>
          <w:szCs w:val="28"/>
          <w:lang w:eastAsia="zh-TW" w:bidi="ar"/>
        </w:rPr>
      </w:pPr>
    </w:p>
    <w:p>
      <w:pPr>
        <w:pStyle w:val="41"/>
        <w:ind w:firstLine="560"/>
        <w:rPr>
          <w:lang w:eastAsia="zh-TW"/>
        </w:rPr>
      </w:pPr>
      <w:r>
        <w:rPr>
          <w:rFonts w:hint="eastAsia"/>
          <w:lang w:eastAsia="zh-TW"/>
        </w:rPr>
        <w:t>因涉及萬物形成、生命起源即所謂形而上學的根本問題，這一部分受到了不少學者的關注</w:t>
      </w:r>
      <w:r>
        <w:rPr>
          <w:rStyle w:val="36"/>
          <w:rFonts w:hint="eastAsia" w:cs="宋体"/>
          <w:color w:val="000000"/>
          <w:szCs w:val="28"/>
          <w:lang w:eastAsia="zh-TW" w:bidi="ar"/>
        </w:rPr>
        <w:footnoteReference w:id="7"/>
      </w:r>
      <w:r>
        <w:rPr>
          <w:rFonts w:hint="eastAsia"/>
          <w:lang w:eastAsia="zh-TW"/>
        </w:rPr>
        <w:t>。然而由於“流形”這一表現較爲難懂，這一涉及“成體”的生成論的具體形式至今未能得到令人滿意的解釋。廖名春</w:t>
      </w:r>
      <w:r>
        <w:rPr>
          <w:rStyle w:val="36"/>
          <w:rFonts w:hint="eastAsia" w:cs="宋体"/>
          <w:color w:val="000000"/>
          <w:szCs w:val="28"/>
          <w:lang w:eastAsia="zh-TW"/>
        </w:rPr>
        <w:footnoteReference w:id="8"/>
      </w:r>
      <w:r>
        <w:rPr>
          <w:rFonts w:hint="eastAsia"/>
          <w:lang w:eastAsia="zh-TW"/>
        </w:rPr>
        <w:t>指出“流”可釋爲“具”、“生”，進而將“流形”解釋爲“具有形質”。吳國源</w:t>
      </w:r>
      <w:r>
        <w:rPr>
          <w:rStyle w:val="36"/>
          <w:rFonts w:hint="eastAsia" w:cs="宋体"/>
          <w:color w:val="000000"/>
          <w:szCs w:val="28"/>
          <w:lang w:eastAsia="zh-TW"/>
        </w:rPr>
        <w:footnoteReference w:id="9"/>
      </w:r>
      <w:r>
        <w:rPr>
          <w:rFonts w:hint="eastAsia"/>
          <w:lang w:eastAsia="zh-TW"/>
        </w:rPr>
        <w:t>則引《廣雅</w:t>
      </w:r>
      <w:r>
        <w:rPr>
          <w:rFonts w:hint="eastAsia"/>
        </w:rPr>
        <w:t>・</w:t>
      </w:r>
      <w:r>
        <w:rPr>
          <w:rFonts w:hint="eastAsia"/>
          <w:lang w:eastAsia="zh-TW"/>
        </w:rPr>
        <w:t>釋詁》“流，化也”把“流”解釋爲“化”即“成”，並將“流形”理解爲“成形”或“化成形”。然而這樣的解釋無法明確“流形”與其後的“成體”之間的區別。</w:t>
      </w:r>
      <w:r>
        <w:rPr>
          <w:rStyle w:val="36"/>
          <w:rFonts w:hint="eastAsia" w:cs="宋体"/>
          <w:color w:val="000000"/>
          <w:szCs w:val="28"/>
          <w:lang w:eastAsia="zh-TW"/>
        </w:rPr>
        <w:footnoteReference w:id="10"/>
      </w:r>
      <w:r>
        <w:rPr>
          <w:rFonts w:hint="eastAsia"/>
          <w:lang w:eastAsia="zh-TW"/>
        </w:rPr>
        <w:t>從</w:t>
      </w:r>
      <w:r>
        <w:rPr>
          <w:rFonts w:hint="eastAsia"/>
        </w:rPr>
        <w:t>“凡物流形、奚得而成”</w:t>
      </w:r>
      <w:r>
        <w:rPr>
          <w:rFonts w:hint="eastAsia"/>
          <w:lang w:eastAsia="zh-TW"/>
        </w:rPr>
        <w:t>一句來看，發問者無疑將</w:t>
      </w:r>
      <w:r>
        <w:rPr>
          <w:rFonts w:hint="eastAsia"/>
        </w:rPr>
        <w:t>“流形”</w:t>
      </w:r>
      <w:r>
        <w:rPr>
          <w:rFonts w:hint="eastAsia"/>
          <w:lang w:eastAsia="zh-TW"/>
        </w:rPr>
        <w:t>→</w:t>
      </w:r>
      <w:r>
        <w:rPr>
          <w:rFonts w:hint="eastAsia"/>
        </w:rPr>
        <w:t>“成”</w:t>
      </w:r>
      <w:r>
        <w:rPr>
          <w:rFonts w:hint="eastAsia"/>
          <w:lang w:eastAsia="zh-TW"/>
        </w:rPr>
        <w:t>或</w:t>
      </w:r>
      <w:r>
        <w:rPr>
          <w:rFonts w:hint="eastAsia"/>
        </w:rPr>
        <w:t>“成體”</w:t>
      </w:r>
      <w:r>
        <w:rPr>
          <w:rFonts w:hint="eastAsia"/>
          <w:lang w:eastAsia="zh-TW"/>
        </w:rPr>
        <w:t>視爲某種生成的過程，因此顯然不應將此處的</w:t>
      </w:r>
      <w:r>
        <w:rPr>
          <w:rFonts w:hint="eastAsia"/>
        </w:rPr>
        <w:t>“流形”</w:t>
      </w:r>
      <w:r>
        <w:rPr>
          <w:rFonts w:hint="eastAsia"/>
          <w:lang w:eastAsia="zh-TW"/>
        </w:rPr>
        <w:t>視爲已經具有形體或已成形的狀態。</w:t>
      </w:r>
    </w:p>
    <w:p>
      <w:pPr>
        <w:pStyle w:val="41"/>
        <w:ind w:firstLine="560"/>
        <w:rPr>
          <w:lang w:eastAsia="zh-TW"/>
        </w:rPr>
      </w:pPr>
    </w:p>
    <w:p>
      <w:pPr>
        <w:pStyle w:val="41"/>
        <w:ind w:firstLine="560"/>
        <w:rPr>
          <w:lang w:eastAsia="zh-TW"/>
        </w:rPr>
      </w:pPr>
      <w:r>
        <w:rPr>
          <w:rFonts w:hint="eastAsia"/>
        </w:rPr>
        <w:t>“流形”</w:t>
      </w:r>
      <w:r>
        <w:rPr>
          <w:rFonts w:hint="eastAsia"/>
          <w:lang w:eastAsia="zh-TW"/>
        </w:rPr>
        <w:t>這一表現亦可見於傳世文獻中，以下兩例已多次被學者引用。</w:t>
      </w:r>
      <w:r>
        <w:rPr>
          <w:rStyle w:val="36"/>
          <w:rFonts w:hint="eastAsia" w:cs="宋体"/>
          <w:color w:val="000000"/>
          <w:szCs w:val="28"/>
          <w:lang w:eastAsia="zh-TW" w:bidi="ar"/>
        </w:rPr>
        <w:footnoteReference w:id="11"/>
      </w:r>
    </w:p>
    <w:p>
      <w:pPr>
        <w:ind w:firstLine="560" w:firstLineChars="200"/>
        <w:rPr>
          <w:rFonts w:ascii="MingLiU" w:hAnsi="MingLiU" w:eastAsia="MingLiU" w:cs="MingLiU"/>
          <w:color w:val="000000"/>
          <w:sz w:val="28"/>
          <w:szCs w:val="28"/>
          <w:lang w:eastAsia="zh-TW" w:bidi="ar"/>
        </w:rPr>
      </w:pPr>
    </w:p>
    <w:p>
      <w:pPr>
        <w:pStyle w:val="37"/>
        <w:spacing w:before="540" w:after="540"/>
        <w:ind w:firstLine="496"/>
      </w:pPr>
      <w:r>
        <w:rPr>
          <w:rFonts w:hint="eastAsia"/>
        </w:rPr>
        <w:t>大哉乾元，萬物資始，乃統天。雲行雨施，品物流形。（《易</w:t>
      </w:r>
      <w:r>
        <w:rPr>
          <w:rFonts w:hint="eastAsia"/>
          <w:lang w:eastAsia="zh-CN"/>
        </w:rPr>
        <w:t>・</w:t>
      </w:r>
      <w:r>
        <w:rPr>
          <w:rFonts w:hint="eastAsia"/>
        </w:rPr>
        <w:t>乾</w:t>
      </w:r>
      <w:r>
        <w:rPr>
          <w:rFonts w:hint="eastAsia"/>
          <w:lang w:eastAsia="zh-CN"/>
        </w:rPr>
        <w:t>・</w:t>
      </w:r>
      <w:r>
        <w:rPr>
          <w:rFonts w:hint="eastAsia"/>
        </w:rPr>
        <w:t>彖傳》）</w:t>
      </w:r>
    </w:p>
    <w:p>
      <w:pPr>
        <w:pStyle w:val="37"/>
        <w:spacing w:before="540" w:after="540"/>
        <w:ind w:firstLine="496"/>
        <w:rPr>
          <w:rFonts w:ascii="MingLiU" w:hAnsi="MingLiU" w:eastAsia="MingLiU" w:cs="宋体"/>
          <w:color w:val="000000"/>
          <w:sz w:val="28"/>
          <w:szCs w:val="28"/>
          <w:shd w:val="clear" w:color="auto" w:fill="FFFFFF"/>
        </w:rPr>
      </w:pPr>
      <w:r>
        <w:rPr>
          <w:rFonts w:hint="eastAsia"/>
        </w:rPr>
        <w:t>人，水也。男女精氣合而水流形。三月如咀。…五月而成，十月而生。（《管子</w:t>
      </w:r>
      <w:r>
        <w:rPr>
          <w:rFonts w:hint="eastAsia"/>
          <w:lang w:eastAsia="zh-CN"/>
        </w:rPr>
        <w:t>・</w:t>
      </w:r>
      <w:r>
        <w:rPr>
          <w:rFonts w:hint="eastAsia"/>
        </w:rPr>
        <w:t>水地》）</w:t>
      </w:r>
    </w:p>
    <w:p>
      <w:pPr>
        <w:rPr>
          <w:rFonts w:ascii="MingLiU" w:hAnsi="MingLiU" w:eastAsia="MingLiU" w:cs="宋体"/>
          <w:color w:val="000000"/>
          <w:sz w:val="28"/>
          <w:szCs w:val="28"/>
          <w:shd w:val="clear" w:color="auto" w:fill="FFFFFF"/>
          <w:lang w:eastAsia="zh-TW" w:bidi="ar"/>
        </w:rPr>
      </w:pPr>
    </w:p>
    <w:p>
      <w:pPr>
        <w:pStyle w:val="41"/>
        <w:ind w:firstLine="0" w:firstLineChars="0"/>
        <w:rPr>
          <w:rFonts w:cs="宋体"/>
          <w:color w:val="000000"/>
          <w:szCs w:val="28"/>
          <w:lang w:eastAsia="zh-TW"/>
        </w:rPr>
      </w:pPr>
      <w:r>
        <w:rPr>
          <w:rFonts w:hint="eastAsia"/>
          <w:lang w:eastAsia="zh-TW"/>
        </w:rPr>
        <w:t>尤其前一例中出現的“品物流形”與“凡物流形”大致相同</w:t>
      </w:r>
      <w:r>
        <w:rPr>
          <w:rStyle w:val="36"/>
          <w:rFonts w:hint="eastAsia" w:cs="宋体"/>
          <w:color w:val="000000"/>
          <w:szCs w:val="28"/>
          <w:shd w:val="clear" w:color="auto" w:fill="FFFFFF"/>
          <w:lang w:bidi="ar"/>
        </w:rPr>
        <w:footnoteReference w:id="12"/>
      </w:r>
      <w:r>
        <w:rPr>
          <w:rFonts w:hint="eastAsia"/>
          <w:lang w:eastAsia="zh-TW"/>
        </w:rPr>
        <w:t>。值得注意的是，作爲“品物流形”前提的“雲行雨施”這一表現，提示了“凡物流形”（“品物流形”）與“水”存在一定關係。而後一例則直接將“水”與“流形”結合在了一起，將胎兒成形之前的狀態用“水流形”進行描述。“流形”的精確意涵雖難以確定，然結合上述引文可知，其涉及形體在成形之前的狀態並與“水”有直接的關係。</w:t>
      </w:r>
      <w:r>
        <w:rPr>
          <w:rStyle w:val="36"/>
          <w:rFonts w:hint="eastAsia" w:cs="宋体"/>
          <w:color w:val="000000"/>
          <w:szCs w:val="28"/>
          <w:lang w:eastAsia="zh-TW"/>
        </w:rPr>
        <w:footnoteReference w:id="13"/>
      </w:r>
      <w:r>
        <w:rPr>
          <w:rFonts w:hint="eastAsia"/>
          <w:lang w:eastAsia="zh-TW"/>
        </w:rPr>
        <w:t>有關《凡物流形》開篇提出的第一個問題中涉及的生成論模式，我們似可理解爲萬物在</w:t>
      </w:r>
      <w:r>
        <w:rPr>
          <w:rFonts w:hint="eastAsia"/>
        </w:rPr>
        <w:t>“成體”</w:t>
      </w:r>
      <w:r>
        <w:rPr>
          <w:rFonts w:hint="eastAsia"/>
          <w:lang w:eastAsia="zh-TW"/>
        </w:rPr>
        <w:t>之前爲如</w:t>
      </w:r>
      <w:r>
        <w:rPr>
          <w:rFonts w:hint="eastAsia"/>
        </w:rPr>
        <w:t>“水”</w:t>
      </w:r>
      <w:r>
        <w:rPr>
          <w:rFonts w:hint="eastAsia"/>
          <w:lang w:eastAsia="zh-TW"/>
        </w:rPr>
        <w:t>一般的流動狀態，在得到某種事物的作用之後得以</w:t>
      </w:r>
      <w:r>
        <w:rPr>
          <w:rFonts w:hint="eastAsia"/>
        </w:rPr>
        <w:t>“成體”</w:t>
      </w:r>
      <w:r>
        <w:rPr>
          <w:rFonts w:hint="eastAsia"/>
          <w:lang w:eastAsia="zh-TW"/>
        </w:rPr>
        <w:t>。而通過對下述同樣涉及生成論部分的探討，我們將得以進一步明確這一生成論的具體形式。</w:t>
      </w:r>
    </w:p>
    <w:p>
      <w:pPr>
        <w:rPr>
          <w:rFonts w:ascii="MingLiU" w:hAnsi="MingLiU" w:eastAsia="MingLiU" w:cs="MingLiU"/>
          <w:color w:val="000000"/>
          <w:sz w:val="28"/>
          <w:szCs w:val="28"/>
          <w:lang w:eastAsia="zh-TW"/>
        </w:rPr>
      </w:pPr>
    </w:p>
    <w:p>
      <w:pPr>
        <w:pStyle w:val="37"/>
        <w:spacing w:before="540" w:after="540"/>
        <w:ind w:firstLine="496"/>
        <w:rPr>
          <w:rFonts w:ascii="MingLiU" w:hAnsi="MingLiU" w:eastAsia="MingLiU" w:cs="MingLiU"/>
          <w:color w:val="000000"/>
          <w:kern w:val="2"/>
          <w:sz w:val="28"/>
          <w:szCs w:val="28"/>
          <w:lang w:bidi="ar"/>
        </w:rPr>
      </w:pPr>
      <w:r>
        <w:rPr>
          <w:rFonts w:hint="eastAsia"/>
        </w:rPr>
        <w:t>聞之曰：一生兩，兩生參，參生四，四成結。是故有一，天下無不有。無一，天下亦無有。【簡21】</w:t>
      </w:r>
    </w:p>
    <w:p>
      <w:pPr>
        <w:ind w:firstLine="560" w:firstLineChars="200"/>
        <w:rPr>
          <w:rFonts w:ascii="MingLiU" w:hAnsi="MingLiU" w:eastAsia="MingLiU" w:cs="MingLiU"/>
          <w:color w:val="000000"/>
          <w:sz w:val="28"/>
          <w:szCs w:val="28"/>
          <w:lang w:eastAsia="zh-TW" w:bidi="ar"/>
        </w:rPr>
      </w:pPr>
    </w:p>
    <w:p>
      <w:pPr>
        <w:pStyle w:val="41"/>
        <w:ind w:firstLine="560"/>
        <w:rPr>
          <w:lang w:eastAsia="zh-TW"/>
        </w:rPr>
      </w:pPr>
      <w:r>
        <w:rPr>
          <w:rFonts w:hint="eastAsia"/>
          <w:lang w:eastAsia="zh-TW"/>
        </w:rPr>
        <w:t>上述引文中釋作</w:t>
      </w:r>
      <w:r>
        <w:rPr>
          <w:rFonts w:hint="eastAsia"/>
        </w:rPr>
        <w:t>“四”</w:t>
      </w:r>
      <w:r>
        <w:rPr>
          <w:rFonts w:hint="eastAsia"/>
          <w:lang w:eastAsia="zh-TW"/>
        </w:rPr>
        <w:t>的文字字形爲</w:t>
      </w:r>
      <w:r>
        <w:rPr>
          <w:rFonts w:hint="eastAsia"/>
        </w:rPr>
        <w:t>“</w:t>
      </w:r>
      <w:r>
        <w:drawing>
          <wp:inline distT="0" distB="0" distL="114300" distR="114300">
            <wp:extent cx="140335" cy="286385"/>
            <wp:effectExtent l="0" t="0" r="1206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40335" cy="286385"/>
                    </a:xfrm>
                    <a:prstGeom prst="rect">
                      <a:avLst/>
                    </a:prstGeom>
                    <a:noFill/>
                    <a:ln>
                      <a:noFill/>
                    </a:ln>
                  </pic:spPr>
                </pic:pic>
              </a:graphicData>
            </a:graphic>
          </wp:inline>
        </w:drawing>
      </w:r>
      <w:r>
        <w:rPr>
          <w:rFonts w:hint="eastAsia"/>
        </w:rPr>
        <w:t>”</w:t>
      </w:r>
      <w:r>
        <w:rPr>
          <w:rFonts w:hint="eastAsia"/>
          <w:lang w:eastAsia="zh-TW"/>
        </w:rPr>
        <w:t>。該文字的釋讀存在爭議。原整理者曹錦炎將其隸定爲“弔”並解釋爲“善”。這一解釋現在幾乎已經沒有了支持者。復旦大學讀書會</w:t>
      </w:r>
      <w:r>
        <w:rPr>
          <w:rStyle w:val="36"/>
          <w:rFonts w:hint="eastAsia" w:cs="宋体"/>
          <w:color w:val="000000"/>
          <w:szCs w:val="28"/>
          <w:lang w:eastAsia="zh-TW" w:bidi="ar"/>
        </w:rPr>
        <w:footnoteReference w:id="14"/>
      </w:r>
      <w:r>
        <w:rPr>
          <w:rFonts w:hint="eastAsia"/>
          <w:lang w:eastAsia="zh-TW"/>
        </w:rPr>
        <w:t>提出該字可隸定爲“女”或“母”。秦樺林</w:t>
      </w:r>
      <w:r>
        <w:rPr>
          <w:rStyle w:val="36"/>
          <w:rFonts w:hint="eastAsia" w:cs="宋体"/>
          <w:color w:val="000000"/>
          <w:szCs w:val="28"/>
          <w:lang w:eastAsia="zh-TW"/>
        </w:rPr>
        <w:footnoteReference w:id="15"/>
      </w:r>
      <w:r>
        <w:rPr>
          <w:rFonts w:hint="eastAsia"/>
          <w:lang w:eastAsia="zh-TW"/>
        </w:rPr>
        <w:t>支持“母”這一讀法，並認爲該字指“生成萬物的根源”。而沈培</w:t>
      </w:r>
      <w:r>
        <w:rPr>
          <w:rStyle w:val="36"/>
          <w:rFonts w:hint="eastAsia" w:cs="宋体"/>
          <w:color w:val="000000"/>
          <w:szCs w:val="28"/>
          <w:lang w:eastAsia="zh-TW"/>
        </w:rPr>
        <w:footnoteReference w:id="16"/>
      </w:r>
      <w:r>
        <w:rPr>
          <w:rFonts w:hint="eastAsia"/>
          <w:lang w:eastAsia="zh-TW"/>
        </w:rPr>
        <w:t>則指出該字當爲“四”字之誤，並認爲“一生二，二生三，三生四，四成結”是一個循環往復的概念，至“四”成爲一個終結，然後又從“一”開始循環，就像一年有四時不斷循環往復一樣。李銳</w:t>
      </w:r>
      <w:r>
        <w:rPr>
          <w:rStyle w:val="36"/>
          <w:rFonts w:hint="eastAsia" w:cs="宋体"/>
          <w:color w:val="000000"/>
          <w:szCs w:val="28"/>
        </w:rPr>
        <w:footnoteReference w:id="17"/>
      </w:r>
      <w:r>
        <w:rPr>
          <w:rFonts w:hint="eastAsia"/>
          <w:lang w:eastAsia="zh-TW"/>
        </w:rPr>
        <w:t>及曹峰</w:t>
      </w:r>
      <w:r>
        <w:rPr>
          <w:rStyle w:val="36"/>
          <w:rFonts w:hint="eastAsia" w:cs="宋体"/>
          <w:color w:val="000000"/>
          <w:szCs w:val="28"/>
          <w:lang w:eastAsia="zh-TW"/>
        </w:rPr>
        <w:footnoteReference w:id="18"/>
      </w:r>
      <w:r>
        <w:rPr>
          <w:rFonts w:hint="eastAsia"/>
          <w:lang w:eastAsia="zh-TW"/>
        </w:rPr>
        <w:t>均支持此觀點。從後文“有一，天下無不有。無一，天下亦無有”中強調“一”於萬物生成之意義來看，將此處由“一”而起的生成序列的末尾的“</w:t>
      </w:r>
      <w:r>
        <w:drawing>
          <wp:inline distT="0" distB="0" distL="114300" distR="114300">
            <wp:extent cx="140335" cy="286385"/>
            <wp:effectExtent l="0" t="0" r="1206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140335" cy="286385"/>
                    </a:xfrm>
                    <a:prstGeom prst="rect">
                      <a:avLst/>
                    </a:prstGeom>
                    <a:noFill/>
                    <a:ln>
                      <a:noFill/>
                    </a:ln>
                  </pic:spPr>
                </pic:pic>
              </a:graphicData>
            </a:graphic>
          </wp:inline>
        </w:drawing>
      </w:r>
      <w:r>
        <w:rPr>
          <w:rFonts w:hint="eastAsia"/>
          <w:lang w:eastAsia="zh-TW"/>
        </w:rPr>
        <w:t>”字解釋爲“母”並將其視爲萬物生成的根源，顯然與文意相左。筆者亦認爲該字爲“四”字之誤。</w:t>
      </w:r>
    </w:p>
    <w:p>
      <w:pPr>
        <w:pStyle w:val="41"/>
        <w:ind w:firstLine="560"/>
        <w:rPr>
          <w:lang w:eastAsia="zh-TW"/>
        </w:rPr>
      </w:pPr>
    </w:p>
    <w:p>
      <w:pPr>
        <w:pStyle w:val="41"/>
        <w:ind w:firstLine="560"/>
        <w:rPr>
          <w:rFonts w:cs="宋体"/>
          <w:color w:val="000000"/>
          <w:szCs w:val="28"/>
          <w:lang w:eastAsia="zh-TW" w:bidi="ar"/>
        </w:rPr>
      </w:pPr>
      <w:r>
        <w:rPr>
          <w:rFonts w:hint="eastAsia"/>
          <w:lang w:eastAsia="zh-TW"/>
        </w:rPr>
        <w:t>若將該字解釋爲“四”，則該部分的生成論很容易能讓人聯想到郭店楚簡《太一生水》上半部的生成論。</w:t>
      </w:r>
    </w:p>
    <w:p>
      <w:pPr>
        <w:ind w:firstLine="560" w:firstLineChars="200"/>
        <w:rPr>
          <w:rFonts w:ascii="MingLiU" w:hAnsi="MingLiU" w:eastAsia="MingLiU" w:cs="MingLiU"/>
          <w:color w:val="000000"/>
          <w:sz w:val="28"/>
          <w:szCs w:val="28"/>
          <w:lang w:eastAsia="zh-TW" w:bidi="ar"/>
        </w:rPr>
      </w:pPr>
    </w:p>
    <w:p>
      <w:pPr>
        <w:pStyle w:val="37"/>
        <w:spacing w:before="540" w:after="540"/>
        <w:ind w:firstLine="496"/>
        <w:rPr>
          <w:rFonts w:ascii="MingLiU" w:hAnsi="MingLiU" w:eastAsia="MingLiU" w:cs="PMingLiU"/>
          <w:color w:val="000000"/>
          <w:sz w:val="28"/>
          <w:szCs w:val="28"/>
        </w:rPr>
      </w:pPr>
      <w:r>
        <w:rPr>
          <w:rFonts w:hint="eastAsia"/>
        </w:rPr>
        <w:t>太一生水。水反輔太一，是以成天。天反輔太一，是以成地。天地復相輔也，是以成神明。神明復相輔也，是以成陰陽。陰陽復相輔也，是以成四時。四時復相輔也，是以成滄熱。滄熱復相輔也，是以成濕燥。濕燥復相輔也，成歳而止。（《太一生水》）</w:t>
      </w:r>
      <w:r>
        <w:rPr>
          <w:rStyle w:val="36"/>
          <w:rFonts w:hint="eastAsia"/>
        </w:rPr>
        <w:footnoteReference w:id="19"/>
      </w:r>
    </w:p>
    <w:p>
      <w:pPr>
        <w:rPr>
          <w:rFonts w:ascii="MingLiU" w:hAnsi="MingLiU" w:eastAsia="MingLiU" w:cs="MingLiU"/>
          <w:color w:val="000000"/>
          <w:sz w:val="28"/>
          <w:szCs w:val="28"/>
          <w:lang w:eastAsia="zh-TW" w:bidi="ar"/>
        </w:rPr>
      </w:pPr>
    </w:p>
    <w:p>
      <w:pPr>
        <w:pStyle w:val="41"/>
        <w:ind w:firstLine="560"/>
        <w:rPr>
          <w:lang w:eastAsia="zh-TW"/>
        </w:rPr>
      </w:pPr>
      <w:r>
        <w:rPr>
          <w:rFonts w:hint="eastAsia"/>
          <w:lang w:eastAsia="zh-TW"/>
        </w:rPr>
        <w:t>上述生成論中從</w:t>
      </w:r>
      <w:r>
        <w:rPr>
          <w:rFonts w:hint="eastAsia"/>
        </w:rPr>
        <w:t>“太一”</w:t>
      </w:r>
      <w:r>
        <w:rPr>
          <w:rFonts w:hint="eastAsia"/>
          <w:lang w:eastAsia="zh-TW"/>
        </w:rPr>
        <w:t>到</w:t>
      </w:r>
      <w:r>
        <w:rPr>
          <w:rFonts w:hint="eastAsia"/>
        </w:rPr>
        <w:t>“水”</w:t>
      </w:r>
      <w:r>
        <w:rPr>
          <w:rFonts w:hint="eastAsia"/>
          <w:lang w:eastAsia="zh-TW"/>
        </w:rPr>
        <w:t>、</w:t>
      </w:r>
      <w:r>
        <w:rPr>
          <w:rFonts w:hint="eastAsia"/>
        </w:rPr>
        <w:t>“天”</w:t>
      </w:r>
      <w:r>
        <w:rPr>
          <w:rFonts w:hint="eastAsia"/>
          <w:lang w:eastAsia="zh-TW"/>
        </w:rPr>
        <w:t>、</w:t>
      </w:r>
      <w:r>
        <w:rPr>
          <w:rFonts w:hint="eastAsia"/>
        </w:rPr>
        <w:t>“地”</w:t>
      </w:r>
      <w:r>
        <w:rPr>
          <w:rFonts w:hint="eastAsia"/>
          <w:lang w:eastAsia="zh-TW"/>
        </w:rPr>
        <w:t>的生成方式與</w:t>
      </w:r>
      <w:r>
        <w:rPr>
          <w:rFonts w:hint="eastAsia"/>
        </w:rPr>
        <w:t>“神明”</w:t>
      </w:r>
      <w:r>
        <w:rPr>
          <w:rFonts w:hint="eastAsia"/>
          <w:lang w:eastAsia="zh-TW"/>
        </w:rPr>
        <w:t>以下的生成方式有著明確的區別。具體而言，“水”由“太一”直接生成，而“天”、“地”之生成均爲“A反輔太一，是以成B”的模式，即由序列中之前的一個要素與“太一”相互作用生成而來。無論“水”還是“天”、“地”的生成都有“太一”的直接參與。與此相對的，“神明”以下的要素均爲“天地復相輔也，是以成神明”的模式，即由序列中之前的一對要素相互作用生成而來。在這種模式中，各要素的生成雖與“太一”不無關係，但均沒有“太一”的直接參與，而是在“天地”生成之後，以“天地”爲依託依次生成而來。我們發現，《太一生水》由“太一”→“水”→“天”→“地”的生成序列與《凡物流形》“一”→“兩”→“參”→“四”的生成論存在對應關係。</w:t>
      </w:r>
      <w:r>
        <w:rPr>
          <w:rStyle w:val="36"/>
          <w:rFonts w:hint="eastAsia" w:cs="宋体"/>
          <w:color w:val="000000"/>
          <w:szCs w:val="28"/>
          <w:lang w:eastAsia="zh-TW" w:bidi="ar"/>
        </w:rPr>
        <w:footnoteReference w:id="20"/>
      </w:r>
    </w:p>
    <w:p>
      <w:pPr>
        <w:pStyle w:val="41"/>
        <w:ind w:firstLine="560"/>
        <w:rPr>
          <w:lang w:eastAsia="zh-TW"/>
        </w:rPr>
      </w:pPr>
    </w:p>
    <w:p>
      <w:pPr>
        <w:pStyle w:val="41"/>
        <w:ind w:firstLine="560"/>
        <w:rPr>
          <w:lang w:eastAsia="zh-TW"/>
        </w:rPr>
      </w:pPr>
      <w:r>
        <w:rPr>
          <w:rFonts w:hint="eastAsia"/>
          <w:lang w:eastAsia="zh-TW"/>
        </w:rPr>
        <w:t>此外，在《太一生水》的生成論中，由</w:t>
      </w:r>
      <w:r>
        <w:rPr>
          <w:rFonts w:hint="eastAsia"/>
        </w:rPr>
        <w:t>“太一”</w:t>
      </w:r>
      <w:r>
        <w:rPr>
          <w:rFonts w:hint="eastAsia"/>
          <w:lang w:eastAsia="zh-TW"/>
        </w:rPr>
        <w:t>直接生成的</w:t>
      </w:r>
      <w:r>
        <w:rPr>
          <w:rFonts w:hint="eastAsia"/>
        </w:rPr>
        <w:t>“水”</w:t>
      </w:r>
      <w:r>
        <w:rPr>
          <w:rFonts w:hint="eastAsia"/>
          <w:lang w:eastAsia="zh-TW"/>
        </w:rPr>
        <w:t>的地位極其特殊。這種將“水”置於“天”、“地”以及以“天地”爲依託生成而來的包括“萬物”在內的各要素之前的生成論模式與“凡物流形”即萬物成體以前爲如“水”一般流動的狀態亦存在明顯的對應關係。《太一生水》這一將“水”在“太一”的作用下生成“天”、“地”及“天地”以下各要素的生成論，與針對“凡物流形、奚得而成”這一設問，以自“一”而起的生成論進行回答的《凡物流形》生成論的思考模式極爲接近。</w:t>
      </w:r>
    </w:p>
    <w:p>
      <w:pPr>
        <w:pStyle w:val="41"/>
        <w:ind w:firstLine="560"/>
        <w:rPr>
          <w:lang w:eastAsia="zh-TW"/>
        </w:rPr>
      </w:pPr>
    </w:p>
    <w:p>
      <w:pPr>
        <w:pStyle w:val="41"/>
        <w:ind w:firstLine="560"/>
        <w:rPr>
          <w:lang w:eastAsia="zh-TW"/>
        </w:rPr>
      </w:pPr>
      <w:r>
        <w:rPr>
          <w:rFonts w:hint="eastAsia"/>
          <w:lang w:eastAsia="zh-TW"/>
        </w:rPr>
        <w:t>在《凡物流形》中</w:t>
      </w:r>
      <w:r>
        <w:rPr>
          <w:rFonts w:hint="eastAsia"/>
        </w:rPr>
        <w:t>“一”</w:t>
      </w:r>
      <w:r>
        <w:rPr>
          <w:rFonts w:hint="eastAsia"/>
          <w:lang w:eastAsia="zh-TW"/>
        </w:rPr>
        <w:t>不單是生成的起點，還是萬物得以運行的依據。下半部分的“草木得之以生、禽獸得之以鳴【簡13a】”一句當可視爲對上半部分“孰爲天、孰爲地。孰爲雷【簡11】電。孰爲帝。土奚得而平。水奚得而清。草木奚得而生【簡12a】。禽獸奚得而鳴【簡13b】”一句中部分內容的回答。而從文脈來看，這裡的“之”亦當指“一”。</w:t>
      </w:r>
    </w:p>
    <w:p>
      <w:pPr>
        <w:pStyle w:val="41"/>
        <w:ind w:firstLine="560"/>
        <w:rPr>
          <w:lang w:eastAsia="zh-TW"/>
        </w:rPr>
      </w:pPr>
    </w:p>
    <w:p>
      <w:pPr>
        <w:pStyle w:val="41"/>
        <w:ind w:firstLine="560"/>
        <w:rPr>
          <w:lang w:eastAsia="zh-TW"/>
        </w:rPr>
      </w:pPr>
      <w:r>
        <w:rPr>
          <w:rFonts w:hint="eastAsia"/>
          <w:lang w:eastAsia="zh-TW"/>
        </w:rPr>
        <w:t>接下來將對與開篇第二個設問即“流形成體、奚得而不死”相關的“至靜”章</w:t>
      </w:r>
      <w:r>
        <w:rPr>
          <w:rStyle w:val="36"/>
          <w:rFonts w:hint="eastAsia" w:cs="宋体"/>
          <w:color w:val="000000"/>
          <w:szCs w:val="28"/>
          <w:lang w:eastAsia="zh-TW" w:bidi="ar"/>
        </w:rPr>
        <w:footnoteReference w:id="21"/>
      </w:r>
      <w:r>
        <w:rPr>
          <w:rFonts w:hint="eastAsia"/>
          <w:lang w:eastAsia="zh-TW"/>
        </w:rPr>
        <w:t>進行考察。</w:t>
      </w:r>
    </w:p>
    <w:p>
      <w:pPr>
        <w:ind w:firstLine="560" w:firstLineChars="200"/>
        <w:rPr>
          <w:rFonts w:ascii="MingLiU" w:hAnsi="MingLiU" w:eastAsia="MingLiU" w:cs="MingLiU"/>
          <w:color w:val="000000"/>
          <w:sz w:val="28"/>
          <w:szCs w:val="28"/>
          <w:lang w:eastAsia="zh-TW"/>
        </w:rPr>
      </w:pPr>
    </w:p>
    <w:p>
      <w:pPr>
        <w:pStyle w:val="37"/>
        <w:spacing w:before="540" w:after="540"/>
        <w:ind w:firstLine="496"/>
        <w:rPr>
          <w:rFonts w:ascii="MingLiU" w:hAnsi="MingLiU" w:eastAsia="MingLiU" w:cs="MingLiU"/>
          <w:color w:val="000000"/>
          <w:sz w:val="28"/>
          <w:szCs w:val="28"/>
        </w:rPr>
      </w:pPr>
      <w:r>
        <w:rPr>
          <w:rFonts w:hint="eastAsia"/>
        </w:rPr>
        <w:t>聞之曰：至靜而智，【簡15】識智而神，識神而同、識同而僉，識僉而困，識困而復。是故陳爲新，人死復爲人，水復【簡24】於天。凡百物不死。如月，出則或入，終則或始，至則或反。識此言，起於一端。【簡25】</w:t>
      </w:r>
    </w:p>
    <w:p>
      <w:pPr>
        <w:ind w:firstLine="560" w:firstLineChars="200"/>
        <w:rPr>
          <w:rFonts w:ascii="MingLiU" w:hAnsi="MingLiU" w:eastAsia="MingLiU" w:cs="MingLiU"/>
          <w:color w:val="000000"/>
          <w:sz w:val="28"/>
          <w:szCs w:val="28"/>
          <w:lang w:eastAsia="zh-TW" w:bidi="ar"/>
        </w:rPr>
      </w:pPr>
    </w:p>
    <w:p>
      <w:pPr>
        <w:pStyle w:val="41"/>
        <w:ind w:firstLine="560"/>
        <w:rPr>
          <w:lang w:eastAsia="zh-TW"/>
        </w:rPr>
      </w:pPr>
      <w:r>
        <w:rPr>
          <w:rFonts w:hint="eastAsia"/>
          <w:lang w:eastAsia="zh-TW"/>
        </w:rPr>
        <w:t>該章“凡百物不死”一句中的“不死”這一表現提示了其與開篇“奚得而不死”這一設問的聯繫。已有不少學者指出該章涉及循環往復的觀念。</w:t>
      </w:r>
      <w:r>
        <w:rPr>
          <w:rStyle w:val="36"/>
          <w:rFonts w:hint="eastAsia" w:cs="宋体"/>
          <w:color w:val="000000"/>
          <w:szCs w:val="28"/>
          <w:lang w:eastAsia="zh-TW" w:bidi="ar"/>
        </w:rPr>
        <w:footnoteReference w:id="22"/>
      </w:r>
      <w:r>
        <w:rPr>
          <w:rFonts w:hint="eastAsia"/>
          <w:lang w:eastAsia="zh-TW"/>
        </w:rPr>
        <w:t>對這種循環往復觀念的具體描述，最直接的即有關月之盈缺的比喻部分及</w:t>
      </w:r>
      <w:r>
        <w:rPr>
          <w:rFonts w:hint="eastAsia"/>
        </w:rPr>
        <w:t>“水復於天”</w:t>
      </w:r>
      <w:r>
        <w:rPr>
          <w:rFonts w:hint="eastAsia"/>
          <w:lang w:eastAsia="zh-TW"/>
        </w:rPr>
        <w:t>一句中涉及的</w:t>
      </w:r>
      <w:r>
        <w:rPr>
          <w:rFonts w:hint="eastAsia"/>
        </w:rPr>
        <w:t>“水”</w:t>
      </w:r>
      <w:r>
        <w:rPr>
          <w:rFonts w:hint="eastAsia"/>
          <w:lang w:eastAsia="zh-TW"/>
        </w:rPr>
        <w:t>返歸於</w:t>
      </w:r>
      <w:r>
        <w:rPr>
          <w:rFonts w:hint="eastAsia"/>
        </w:rPr>
        <w:t>“天”</w:t>
      </w:r>
      <w:r>
        <w:rPr>
          <w:rFonts w:hint="eastAsia"/>
          <w:lang w:eastAsia="zh-TW"/>
        </w:rPr>
        <w:t>的描述。“水”以雨的形式由“天”而降，又以蒸發的方式返於“天”，這一現象古人有可能已從實際的觀察中有所發現，進而將其與循環往復的觀念聯繫在一起。至於“人死復爲人”一句，其具體所指雖難以考證</w:t>
      </w:r>
      <w:r>
        <w:rPr>
          <w:rStyle w:val="36"/>
          <w:rFonts w:hint="eastAsia" w:cs="宋体"/>
          <w:color w:val="000000"/>
          <w:szCs w:val="28"/>
          <w:lang w:eastAsia="zh-TW"/>
        </w:rPr>
        <w:footnoteReference w:id="23"/>
      </w:r>
      <w:r>
        <w:rPr>
          <w:rFonts w:hint="eastAsia"/>
          <w:lang w:eastAsia="zh-TW"/>
        </w:rPr>
        <w:t>，然而結合前後文亦不難得知其與循環往復相關。除列舉的“人”與“水”之循環往復之外，世間“百物”亦通過循環往復實現自身的永續，此即“百物不死”的含義。</w:t>
      </w:r>
    </w:p>
    <w:p>
      <w:pPr>
        <w:pStyle w:val="41"/>
        <w:ind w:firstLine="560"/>
        <w:rPr>
          <w:lang w:eastAsia="zh-TW"/>
        </w:rPr>
      </w:pPr>
    </w:p>
    <w:p>
      <w:pPr>
        <w:pStyle w:val="41"/>
        <w:ind w:firstLine="560"/>
        <w:rPr>
          <w:lang w:eastAsia="zh-TW"/>
        </w:rPr>
      </w:pPr>
      <w:r>
        <w:rPr>
          <w:rFonts w:hint="eastAsia"/>
          <w:lang w:eastAsia="zh-TW"/>
        </w:rPr>
        <w:t>上述</w:t>
      </w:r>
      <w:r>
        <w:rPr>
          <w:rFonts w:hint="eastAsia"/>
        </w:rPr>
        <w:t>“水復於天”</w:t>
      </w:r>
      <w:r>
        <w:rPr>
          <w:rFonts w:hint="eastAsia"/>
          <w:lang w:eastAsia="zh-TW"/>
        </w:rPr>
        <w:t>、</w:t>
      </w:r>
      <w:r>
        <w:rPr>
          <w:rFonts w:hint="eastAsia"/>
        </w:rPr>
        <w:t>“人死復爲人”</w:t>
      </w:r>
      <w:r>
        <w:rPr>
          <w:rFonts w:hint="eastAsia"/>
          <w:lang w:eastAsia="zh-TW"/>
        </w:rPr>
        <w:t>等部分中多次出現的</w:t>
      </w:r>
      <w:r>
        <w:rPr>
          <w:rFonts w:hint="eastAsia"/>
        </w:rPr>
        <w:t>“復”</w:t>
      </w:r>
      <w:r>
        <w:rPr>
          <w:rFonts w:hint="eastAsia"/>
          <w:lang w:eastAsia="zh-TW"/>
        </w:rPr>
        <w:t>字，亦可見於</w:t>
      </w:r>
      <w:r>
        <w:rPr>
          <w:rFonts w:hint="eastAsia"/>
        </w:rPr>
        <w:t>“至靜而智”</w:t>
      </w:r>
      <w:r>
        <w:rPr>
          <w:rStyle w:val="36"/>
          <w:rFonts w:hint="eastAsia" w:cs="宋体"/>
          <w:color w:val="000000"/>
          <w:szCs w:val="28"/>
          <w:lang w:eastAsia="zh-TW" w:bidi="ar"/>
        </w:rPr>
        <w:footnoteReference w:id="24"/>
      </w:r>
      <w:r>
        <w:rPr>
          <w:rFonts w:hint="eastAsia"/>
          <w:lang w:eastAsia="zh-TW"/>
        </w:rPr>
        <w:t>一句中末尾的</w:t>
      </w:r>
      <w:r>
        <w:rPr>
          <w:rFonts w:hint="eastAsia"/>
        </w:rPr>
        <w:t>“識困而復”</w:t>
      </w:r>
      <w:r>
        <w:rPr>
          <w:rStyle w:val="36"/>
          <w:rFonts w:hint="eastAsia" w:cs="宋体"/>
          <w:color w:val="000000"/>
          <w:szCs w:val="28"/>
          <w:lang w:eastAsia="zh-TW"/>
        </w:rPr>
        <w:footnoteReference w:id="25"/>
      </w:r>
      <w:r>
        <w:rPr>
          <w:rFonts w:hint="eastAsia"/>
          <w:lang w:eastAsia="zh-TW"/>
        </w:rPr>
        <w:t>處。於《凡物流形》的作者而言，包含循環往復要素的“復”字當爲一種重要的概念。值得一提的是，“人死復爲人”之前的“是故陳爲新”一句，依前後文脈來看當包含了“陳”復爲“新”，即舊事物與新事物間循環往復的含義。然問題在於此處並不見涉及循環往復的“復”字。而其字面意思爲“陳”即是“新”，“陳”與“新”被等號連結在了一起。乍看之下，“復”字似乎是在傳抄過程中被抄寫者遺漏，但筆者以爲原文實際上包含了“陳”與“新”這類相互間可以循環往復的對立事物本身具有同一性的思想。具體而言，“陳”與“新”雖爲對立相反的概念，然而被認爲是“陳”的事物亦可因參照對象不同被視爲“新”的事物，反之亦然。從這個角度來看，對立相反的事物之間存在相互轉換的可能，因而可以認爲兩者本質上是同一種事物。反過來說，正因爲對立事物存在同一性，“新”與“陳”、“陳”與“新”之間的轉換乃至循環往復才可成立。反之，如“陳”與“大”之間不能相互轉換，正是因爲兩者間缺少了這種同一性。事實上，將對立事物的同一性作爲其相互轉換以至循環往復前提的思想亦可見於“識同而僉、識僉而困、識困而復”一句。</w:t>
      </w:r>
    </w:p>
    <w:p>
      <w:pPr>
        <w:pStyle w:val="41"/>
        <w:ind w:firstLine="560"/>
        <w:rPr>
          <w:lang w:eastAsia="zh-TW"/>
        </w:rPr>
      </w:pPr>
    </w:p>
    <w:p>
      <w:pPr>
        <w:pStyle w:val="41"/>
        <w:ind w:firstLine="560"/>
        <w:rPr>
          <w:lang w:eastAsia="zh-TW"/>
        </w:rPr>
      </w:pPr>
      <w:r>
        <w:rPr>
          <w:rFonts w:hint="eastAsia"/>
          <w:lang w:eastAsia="zh-TW"/>
        </w:rPr>
        <w:t>關於該句，秦樺林</w:t>
      </w:r>
      <w:r>
        <w:rPr>
          <w:rStyle w:val="36"/>
          <w:rFonts w:hint="eastAsia" w:cs="宋体"/>
          <w:color w:val="000000"/>
          <w:szCs w:val="28"/>
          <w:lang w:eastAsia="zh-TW" w:bidi="ar"/>
        </w:rPr>
        <w:footnoteReference w:id="26"/>
      </w:r>
      <w:r>
        <w:rPr>
          <w:rFonts w:hint="eastAsia"/>
          <w:lang w:eastAsia="zh-TW"/>
        </w:rPr>
        <w:t>依《小爾雅》廣言篇</w:t>
      </w:r>
      <w:r>
        <w:rPr>
          <w:rFonts w:hint="eastAsia"/>
        </w:rPr>
        <w:t>“僉，同也”</w:t>
      </w:r>
      <w:r>
        <w:rPr>
          <w:rFonts w:hint="eastAsia"/>
          <w:lang w:eastAsia="zh-TW"/>
        </w:rPr>
        <w:t>將此處的</w:t>
      </w:r>
      <w:r>
        <w:rPr>
          <w:rFonts w:hint="eastAsia"/>
        </w:rPr>
        <w:t>“僉”</w:t>
      </w:r>
      <w:r>
        <w:rPr>
          <w:rFonts w:hint="eastAsia"/>
          <w:lang w:eastAsia="zh-TW"/>
        </w:rPr>
        <w:t>字釋爲</w:t>
      </w:r>
      <w:r>
        <w:rPr>
          <w:rFonts w:hint="eastAsia"/>
        </w:rPr>
        <w:t>“同”</w:t>
      </w:r>
      <w:r>
        <w:rPr>
          <w:rFonts w:hint="eastAsia"/>
          <w:lang w:eastAsia="zh-TW"/>
        </w:rPr>
        <w:t>，並認爲</w:t>
      </w:r>
      <w:r>
        <w:rPr>
          <w:rFonts w:hint="eastAsia"/>
        </w:rPr>
        <w:t>“此處的</w:t>
      </w:r>
      <w:r>
        <w:rPr>
          <w:rFonts w:hint="eastAsia"/>
          <w:lang w:eastAsia="zh-CN"/>
        </w:rPr>
        <w:t>‘</w:t>
      </w:r>
      <w:r>
        <w:rPr>
          <w:rFonts w:hint="eastAsia"/>
        </w:rPr>
        <w:t>僉</w:t>
      </w:r>
      <w:r>
        <w:rPr>
          <w:rFonts w:hint="eastAsia"/>
          <w:lang w:eastAsia="zh-CN"/>
        </w:rPr>
        <w:t>’</w:t>
      </w:r>
      <w:r>
        <w:rPr>
          <w:rFonts w:hint="eastAsia"/>
          <w:lang w:eastAsia="zh-TW"/>
        </w:rPr>
        <w:t>當是比</w:t>
      </w:r>
      <w:r>
        <w:rPr>
          <w:rFonts w:hint="eastAsia"/>
          <w:lang w:eastAsia="zh-CN"/>
        </w:rPr>
        <w:t>‘</w:t>
      </w:r>
      <w:r>
        <w:rPr>
          <w:rFonts w:hint="eastAsia"/>
        </w:rPr>
        <w:t>同</w:t>
      </w:r>
      <w:r>
        <w:rPr>
          <w:rFonts w:hint="eastAsia"/>
          <w:lang w:eastAsia="zh-CN"/>
        </w:rPr>
        <w:t>’</w:t>
      </w:r>
      <w:r>
        <w:rPr>
          <w:rFonts w:hint="eastAsia"/>
          <w:lang w:eastAsia="zh-TW"/>
        </w:rPr>
        <w:t>更進一步的</w:t>
      </w:r>
      <w:r>
        <w:rPr>
          <w:rFonts w:hint="eastAsia"/>
          <w:lang w:eastAsia="zh-CN"/>
        </w:rPr>
        <w:t>‘</w:t>
      </w:r>
      <w:r>
        <w:rPr>
          <w:rFonts w:hint="eastAsia"/>
        </w:rPr>
        <w:t>虛靜爲一</w:t>
      </w:r>
      <w:r>
        <w:rPr>
          <w:rFonts w:hint="eastAsia"/>
          <w:lang w:eastAsia="zh-CN"/>
        </w:rPr>
        <w:t>’</w:t>
      </w:r>
      <w:r>
        <w:rPr>
          <w:rFonts w:hint="eastAsia"/>
          <w:lang w:eastAsia="zh-TW"/>
        </w:rPr>
        <w:t>的境界</w:t>
      </w:r>
      <w:r>
        <w:rPr>
          <w:rFonts w:hint="eastAsia"/>
        </w:rPr>
        <w:t>”</w:t>
      </w:r>
      <w:r>
        <w:rPr>
          <w:rFonts w:hint="eastAsia"/>
          <w:lang w:eastAsia="zh-TW"/>
        </w:rPr>
        <w:t>。這一解釋頗具啟發，不過從文脈來看，與比“同”更進一步相比，此處的“僉”當指一種表面上（至少就形態而言）雖與“同”有異，但本質上與“同”相同的概念。秦樺林</w:t>
      </w:r>
      <w:r>
        <w:rPr>
          <w:rStyle w:val="36"/>
          <w:rFonts w:hint="eastAsia" w:cs="宋体"/>
          <w:color w:val="000000"/>
          <w:szCs w:val="28"/>
          <w:lang w:eastAsia="zh-TW"/>
        </w:rPr>
        <w:footnoteReference w:id="27"/>
      </w:r>
      <w:r>
        <w:rPr>
          <w:rFonts w:hint="eastAsia"/>
          <w:lang w:eastAsia="zh-TW"/>
        </w:rPr>
        <w:t>還指出“識僉而困”的“困”爲“窮”、“極”之義。由此“識同而僉、識僉而困、識困而復”一句當可理解爲，在知曉“同”、“僉”具有同一性，即由“同”、“僉”所代表的對立相反事物本質相同之後，則可知曉抵達對立相反關係中的兩種要素其中一方的“極點”則可向與其對立面轉換這一點。知曉了這一點，則可知曉循環往復的“復”。這種對立事物之間至一方之極點則可向其對立面轉換以至循環往復的觀念，於古人而言從四時變化以及月之盈缺等自然現象中並不難總結得出。類似的觀念亦可見於《老子》等文獻，如傳世本《老子》第四十五章</w:t>
      </w:r>
      <w:r>
        <w:rPr>
          <w:rStyle w:val="36"/>
          <w:rFonts w:hint="eastAsia" w:cs="宋体"/>
          <w:color w:val="000000"/>
          <w:szCs w:val="28"/>
          <w:lang w:eastAsia="zh-TW"/>
        </w:rPr>
        <w:footnoteReference w:id="28"/>
      </w:r>
      <w:r>
        <w:rPr>
          <w:rFonts w:hint="eastAsia"/>
          <w:lang w:eastAsia="zh-TW"/>
        </w:rPr>
        <w:t>“大成若缺，其用不弊。大盈若沖，其用不窮”即視“缺”爲“大成”、“沖”爲“大盈”，提示對立相反事物中處於負面的一方向其對立面轉換之可能。《凡物流形》的“復”的思想，當是在這一觀念的基礎上進一步總結出循環往復的前提爲對立事物的同一性而來的。</w:t>
      </w:r>
    </w:p>
    <w:p>
      <w:pPr>
        <w:pStyle w:val="41"/>
        <w:ind w:firstLine="560"/>
        <w:rPr>
          <w:lang w:eastAsia="zh-TW"/>
        </w:rPr>
      </w:pPr>
    </w:p>
    <w:p>
      <w:pPr>
        <w:pStyle w:val="41"/>
        <w:ind w:firstLine="560"/>
        <w:rPr>
          <w:lang w:eastAsia="zh-TW"/>
        </w:rPr>
      </w:pPr>
      <w:r>
        <w:rPr>
          <w:rFonts w:hint="eastAsia"/>
          <w:lang w:eastAsia="zh-TW"/>
        </w:rPr>
        <w:t>回到開篇的</w:t>
      </w:r>
      <w:r>
        <w:rPr>
          <w:rFonts w:hint="eastAsia"/>
        </w:rPr>
        <w:t>“奚得而不死”</w:t>
      </w:r>
      <w:r>
        <w:rPr>
          <w:rFonts w:hint="eastAsia"/>
          <w:lang w:eastAsia="zh-TW"/>
        </w:rPr>
        <w:t>這一設問。“不死”具體而言指的是“復”即世間萬物的循環往復。而如上所述，涉及對立事物之間相互轉換以致循環往復的“復”這一概念，根本上來源於對立事物的同一性即“同”。而“同”則可進一步聯繫到“一”。即是說，除了作爲萬物生成的根源及萬物得以運行的依據以外，“一”還是萬物循環往復以至“不死”的根據。</w:t>
      </w:r>
    </w:p>
    <w:p>
      <w:pPr>
        <w:pStyle w:val="41"/>
        <w:ind w:firstLine="560"/>
        <w:rPr>
          <w:lang w:eastAsia="zh-TW"/>
        </w:rPr>
      </w:pPr>
    </w:p>
    <w:p>
      <w:pPr>
        <w:pStyle w:val="41"/>
        <w:ind w:firstLine="560"/>
        <w:rPr>
          <w:lang w:eastAsia="zh-TW"/>
        </w:rPr>
      </w:pPr>
      <w:r>
        <w:rPr>
          <w:rFonts w:hint="eastAsia"/>
          <w:lang w:eastAsia="zh-TW"/>
        </w:rPr>
        <w:t>後文將進一步指出，本章末句的</w:t>
      </w:r>
      <w:r>
        <w:rPr>
          <w:rFonts w:hint="eastAsia"/>
        </w:rPr>
        <w:t>“識此言，起於一端”</w:t>
      </w:r>
      <w:r>
        <w:rPr>
          <w:rFonts w:hint="eastAsia"/>
          <w:lang w:eastAsia="zh-TW"/>
        </w:rPr>
        <w:t>的</w:t>
      </w:r>
      <w:r>
        <w:rPr>
          <w:rFonts w:hint="eastAsia"/>
        </w:rPr>
        <w:t>“一端”</w:t>
      </w:r>
      <w:r>
        <w:rPr>
          <w:rFonts w:hint="eastAsia"/>
          <w:lang w:eastAsia="zh-TW"/>
        </w:rPr>
        <w:t>涉及體認</w:t>
      </w:r>
      <w:r>
        <w:rPr>
          <w:rFonts w:hint="eastAsia"/>
        </w:rPr>
        <w:t>“一”</w:t>
      </w:r>
      <w:r>
        <w:rPr>
          <w:rFonts w:hint="eastAsia"/>
          <w:lang w:eastAsia="zh-TW"/>
        </w:rPr>
        <w:t>的工夫，此進一步提示了上述內容與</w:t>
      </w:r>
      <w:r>
        <w:rPr>
          <w:rFonts w:hint="eastAsia"/>
        </w:rPr>
        <w:t>“一”</w:t>
      </w:r>
      <w:r>
        <w:rPr>
          <w:rFonts w:hint="eastAsia"/>
          <w:lang w:eastAsia="zh-TW"/>
        </w:rPr>
        <w:t>的關係。此外，作爲認識“復”的前提的“至靜而智”中的“靜”在《凡物流形》的工夫論中亦與“一”有著密切的關係。以下即將對涉及“一”與“靜”的工夫的“心不勝心”章進行考察。</w:t>
      </w:r>
    </w:p>
    <w:p>
      <w:pPr>
        <w:pStyle w:val="41"/>
        <w:ind w:firstLine="560"/>
        <w:rPr>
          <w:lang w:eastAsia="zh-TW"/>
        </w:rPr>
      </w:pPr>
    </w:p>
    <w:p>
      <w:pPr>
        <w:pStyle w:val="43"/>
        <w:rPr>
          <w:rFonts w:ascii="宋体" w:cs="宋体"/>
          <w:sz w:val="28"/>
          <w:szCs w:val="28"/>
          <w:lang w:eastAsia="zh-TW"/>
        </w:rPr>
      </w:pPr>
      <w:r>
        <w:rPr>
          <w:rFonts w:hint="eastAsia" w:ascii="宋体" w:cs="宋体"/>
          <w:sz w:val="28"/>
          <w:szCs w:val="28"/>
          <w:lang w:eastAsia="zh-TW"/>
        </w:rPr>
        <w:t>二、</w:t>
      </w:r>
      <w:r>
        <w:rPr>
          <w:rFonts w:hint="eastAsia" w:ascii="宋体" w:cs="宋体"/>
          <w:sz w:val="28"/>
          <w:szCs w:val="28"/>
        </w:rPr>
        <w:t>“一”</w:t>
      </w:r>
      <w:r>
        <w:rPr>
          <w:rFonts w:hint="eastAsia" w:ascii="宋体" w:cs="宋体"/>
          <w:sz w:val="28"/>
          <w:szCs w:val="28"/>
          <w:lang w:eastAsia="zh-TW"/>
        </w:rPr>
        <w:t>的工夫與</w:t>
      </w:r>
      <w:r>
        <w:rPr>
          <w:rFonts w:hint="eastAsia" w:ascii="宋体" w:cs="宋体"/>
          <w:sz w:val="28"/>
          <w:szCs w:val="28"/>
        </w:rPr>
        <w:t>“無爲”</w:t>
      </w:r>
      <w:r>
        <w:rPr>
          <w:rFonts w:hint="eastAsia" w:ascii="宋体" w:cs="宋体"/>
          <w:sz w:val="28"/>
          <w:szCs w:val="28"/>
          <w:lang w:eastAsia="zh-TW"/>
        </w:rPr>
        <w:t>的思想</w:t>
      </w:r>
    </w:p>
    <w:p>
      <w:pPr>
        <w:pStyle w:val="41"/>
        <w:bidi w:val="0"/>
        <w:rPr>
          <w:lang w:eastAsia="zh-TW"/>
        </w:rPr>
      </w:pPr>
    </w:p>
    <w:p>
      <w:pPr>
        <w:pStyle w:val="41"/>
        <w:bidi w:val="0"/>
        <w:rPr>
          <w:lang w:eastAsia="zh-TW"/>
        </w:rPr>
      </w:pPr>
      <w:r>
        <w:rPr>
          <w:rFonts w:hint="eastAsia"/>
          <w:lang w:eastAsia="zh-TW"/>
        </w:rPr>
        <w:t>有關以下</w:t>
      </w:r>
      <w:r>
        <w:rPr>
          <w:rFonts w:hint="eastAsia"/>
        </w:rPr>
        <w:t>“心不勝心”</w:t>
      </w:r>
      <w:r>
        <w:rPr>
          <w:rFonts w:hint="eastAsia"/>
          <w:lang w:eastAsia="zh-TW"/>
        </w:rPr>
        <w:t>章，曹峰等學者已指出其涉及</w:t>
      </w:r>
      <w:r>
        <w:rPr>
          <w:rFonts w:hint="eastAsia"/>
        </w:rPr>
        <w:t>“一”</w:t>
      </w:r>
      <w:r>
        <w:rPr>
          <w:rFonts w:hint="eastAsia"/>
          <w:lang w:eastAsia="zh-TW"/>
        </w:rPr>
        <w:t>的工夫並與《管子》內業篇及心術下篇的思想相關。</w:t>
      </w:r>
      <w:r>
        <w:rPr>
          <w:rStyle w:val="36"/>
          <w:rFonts w:hint="eastAsia" w:cs="宋体"/>
          <w:color w:val="000000"/>
          <w:szCs w:val="28"/>
          <w:lang w:eastAsia="zh-TW" w:bidi="ar"/>
        </w:rPr>
        <w:footnoteReference w:id="29"/>
      </w:r>
      <w:r>
        <w:rPr>
          <w:rFonts w:hint="eastAsia"/>
          <w:lang w:eastAsia="zh-TW"/>
        </w:rPr>
        <w:t>然而，其文本內容仍有較多難懂之處，筆者將先對其文意進行重新梳理。</w:t>
      </w:r>
    </w:p>
    <w:p>
      <w:pPr>
        <w:pStyle w:val="41"/>
        <w:bidi w:val="0"/>
        <w:rPr>
          <w:lang w:eastAsia="zh-TW"/>
        </w:rPr>
      </w:pPr>
    </w:p>
    <w:p>
      <w:pPr>
        <w:pStyle w:val="37"/>
        <w:spacing w:before="540" w:after="540"/>
        <w:ind w:firstLine="496"/>
        <w:rPr>
          <w:rFonts w:ascii="MingLiU" w:hAnsi="MingLiU" w:eastAsia="MingLiU" w:cs="MingLiU"/>
          <w:color w:val="000000"/>
          <w:sz w:val="28"/>
          <w:szCs w:val="28"/>
        </w:rPr>
      </w:pPr>
      <w:r>
        <w:rPr>
          <w:rFonts w:hint="eastAsia"/>
        </w:rPr>
        <w:t>聞之曰：心不勝心，大亂乃作。心如能勝心，【簡26】是謂小徹。奚謂小徹？人白爲識。奚以知其白？終身自若，能寡言乎？能一【簡18】乎？夫此之謂少成。曰：百姓之所貴唯君，君之所貴唯心，心之所貴唯一。得而解之，上【簡28】賓於天，下蟠於淵。坐而思之，謀於千里。起而用之，通於四海【簡15】。</w:t>
      </w:r>
    </w:p>
    <w:p>
      <w:pPr>
        <w:ind w:firstLine="560" w:firstLineChars="200"/>
        <w:rPr>
          <w:rFonts w:ascii="MingLiU" w:hAnsi="MingLiU" w:eastAsia="MingLiU" w:cs="MingLiU"/>
          <w:color w:val="000000"/>
          <w:sz w:val="28"/>
          <w:szCs w:val="28"/>
          <w:lang w:eastAsia="zh-TW" w:bidi="ar"/>
        </w:rPr>
      </w:pPr>
    </w:p>
    <w:p>
      <w:pPr>
        <w:pStyle w:val="41"/>
        <w:ind w:firstLine="560"/>
        <w:rPr>
          <w:lang w:eastAsia="zh-TW"/>
        </w:rPr>
      </w:pPr>
      <w:r>
        <w:rPr>
          <w:rFonts w:hint="eastAsia"/>
          <w:lang w:eastAsia="zh-TW"/>
        </w:rPr>
        <w:t>此處的“心如能勝心”具體涉及怎樣的“心”之狀態留待之後討論。可以明確的是，其與“心”的內部活動有關，而這種“心”的內部活動的狀態被稱爲“小徹”。因涉及“心”的內部活動，自然難以從外部加以確認，因而作者以自問自答的方式提出“奚謂小徹”的問題後，又以“人白爲識”作答。所謂“人白爲識”，即以其人之“白”這一特徵作爲“小徹”的外部標誌。</w:t>
      </w:r>
      <w:r>
        <w:rPr>
          <w:rStyle w:val="36"/>
          <w:rFonts w:hint="eastAsia" w:cs="宋体"/>
          <w:color w:val="000000"/>
          <w:szCs w:val="28"/>
          <w:lang w:eastAsia="zh-TW" w:bidi="ar"/>
        </w:rPr>
        <w:footnoteReference w:id="30"/>
      </w:r>
      <w:r>
        <w:rPr>
          <w:rFonts w:hint="eastAsia"/>
          <w:lang w:eastAsia="zh-TW"/>
        </w:rPr>
        <w:t>然而</w:t>
      </w:r>
      <w:r>
        <w:rPr>
          <w:rFonts w:hint="eastAsia"/>
        </w:rPr>
        <w:t>“白”</w:t>
      </w:r>
      <w:r>
        <w:rPr>
          <w:rFonts w:hint="eastAsia"/>
          <w:lang w:eastAsia="zh-TW"/>
        </w:rPr>
        <w:t>亦爲抽象之概念，故而作者又以</w:t>
      </w:r>
      <w:r>
        <w:rPr>
          <w:rFonts w:hint="eastAsia"/>
        </w:rPr>
        <w:t>“奚以知其白”</w:t>
      </w:r>
      <w:r>
        <w:rPr>
          <w:rFonts w:hint="eastAsia"/>
          <w:lang w:eastAsia="zh-TW"/>
        </w:rPr>
        <w:t>的設問，導出</w:t>
      </w:r>
      <w:r>
        <w:rPr>
          <w:rFonts w:hint="eastAsia"/>
        </w:rPr>
        <w:t>“終身自若”</w:t>
      </w:r>
      <w:r>
        <w:rPr>
          <w:rFonts w:hint="eastAsia"/>
          <w:lang w:eastAsia="zh-TW"/>
        </w:rPr>
        <w:t>以下的內容。有關“自若”，參考《鶡冠子</w:t>
      </w:r>
      <w:r>
        <w:rPr>
          <w:rFonts w:hint="eastAsia"/>
        </w:rPr>
        <w:t>・</w:t>
      </w:r>
      <w:r>
        <w:rPr>
          <w:rFonts w:hint="eastAsia"/>
          <w:lang w:eastAsia="zh-TW"/>
        </w:rPr>
        <w:t>泰鴻》“自若則清，動之則濁”可知，其中包含了“靜”的含義。而以下的“能寡言乎？能一乎？”即是對這種“靜”的狀態的進一步描述。“寡言”作爲一種外在的狀態與“靜”聯繫在一起並不難理解。</w:t>
      </w:r>
      <w:r>
        <w:rPr>
          <w:rStyle w:val="36"/>
          <w:rFonts w:hint="eastAsia" w:cs="宋体"/>
          <w:color w:val="000000"/>
          <w:szCs w:val="28"/>
          <w:lang w:eastAsia="zh-TW"/>
        </w:rPr>
        <w:footnoteReference w:id="31"/>
      </w:r>
      <w:r>
        <w:rPr>
          <w:rFonts w:hint="eastAsia"/>
          <w:lang w:eastAsia="zh-TW"/>
        </w:rPr>
        <w:t>值得注意的是，與</w:t>
      </w:r>
      <w:r>
        <w:rPr>
          <w:rFonts w:hint="eastAsia"/>
        </w:rPr>
        <w:t>“寡言”</w:t>
      </w:r>
      <w:r>
        <w:rPr>
          <w:rFonts w:hint="eastAsia"/>
          <w:lang w:eastAsia="zh-TW"/>
        </w:rPr>
        <w:t>並列出現的</w:t>
      </w:r>
      <w:r>
        <w:rPr>
          <w:rFonts w:hint="eastAsia"/>
        </w:rPr>
        <w:t>“一”</w:t>
      </w:r>
      <w:r>
        <w:rPr>
          <w:rFonts w:hint="eastAsia"/>
          <w:lang w:eastAsia="zh-TW"/>
        </w:rPr>
        <w:t>，依文脈亦與</w:t>
      </w:r>
      <w:r>
        <w:rPr>
          <w:rFonts w:hint="eastAsia"/>
        </w:rPr>
        <w:t>“自若”</w:t>
      </w:r>
      <w:r>
        <w:rPr>
          <w:rFonts w:hint="eastAsia"/>
          <w:lang w:eastAsia="zh-TW"/>
        </w:rPr>
        <w:t>即</w:t>
      </w:r>
      <w:r>
        <w:rPr>
          <w:rFonts w:hint="eastAsia"/>
        </w:rPr>
        <w:t>“靜”</w:t>
      </w:r>
      <w:r>
        <w:rPr>
          <w:rFonts w:hint="eastAsia"/>
          <w:lang w:eastAsia="zh-TW"/>
        </w:rPr>
        <w:t>的狀態結合在了一起。這種與“寡言”、“一”相關的“靜”狀態則被稱爲“少成”。與作爲內部活動的“小徹”相對，“少成”當爲對應外部“靜”之狀態的概念。</w:t>
      </w:r>
    </w:p>
    <w:p>
      <w:pPr>
        <w:pStyle w:val="41"/>
        <w:ind w:firstLine="560"/>
        <w:rPr>
          <w:lang w:eastAsia="zh-TW"/>
        </w:rPr>
      </w:pPr>
    </w:p>
    <w:p>
      <w:pPr>
        <w:pStyle w:val="41"/>
        <w:ind w:firstLine="560"/>
        <w:rPr>
          <w:rFonts w:cs="宋体"/>
          <w:color w:val="000000"/>
          <w:szCs w:val="28"/>
          <w:lang w:eastAsia="zh-TW"/>
        </w:rPr>
      </w:pPr>
      <w:r>
        <w:rPr>
          <w:rFonts w:hint="eastAsia"/>
        </w:rPr>
        <w:t>“一”</w:t>
      </w:r>
      <w:r>
        <w:rPr>
          <w:rFonts w:hint="eastAsia"/>
          <w:lang w:eastAsia="zh-TW"/>
        </w:rPr>
        <w:t>還出現在了後段</w:t>
      </w:r>
      <w:r>
        <w:rPr>
          <w:rFonts w:hint="eastAsia"/>
        </w:rPr>
        <w:t>“心之所貴唯一”</w:t>
      </w:r>
      <w:r>
        <w:rPr>
          <w:rFonts w:hint="eastAsia"/>
          <w:lang w:eastAsia="zh-TW"/>
        </w:rPr>
        <w:t>一句中。此處提出“心”貴在實現“一”的狀態。而這種“心一”的狀態，當即指前文“心能勝心”的狀態。與之相對的，“心”爲多端而不“一”的狀態即前文所言之“心不勝心”。“心不勝心”導向“大亂”，反之“心能勝心”當帶來“治”的結果。總結來說，通過使“心”爲“一”的“心一”的工夫，“心”達成“一”的狀態，是爲“小徹”。其外在則表現爲與“靜”相關的“寡言”而“一”的狀態，此是爲“少成”。由此導出“治”的結果。</w:t>
      </w:r>
      <w:r>
        <w:rPr>
          <w:rStyle w:val="36"/>
          <w:rFonts w:hint="eastAsia" w:cs="宋体"/>
          <w:color w:val="000000"/>
          <w:szCs w:val="28"/>
          <w:lang w:eastAsia="zh-TW" w:bidi="ar"/>
        </w:rPr>
        <w:footnoteReference w:id="32"/>
      </w:r>
      <w:r>
        <w:rPr>
          <w:rFonts w:hint="eastAsia"/>
          <w:lang w:eastAsia="zh-TW"/>
        </w:rPr>
        <w:t>末句“上賓於天，下蟠於淵。坐而思之，謀於千里。起而用之，通於四海”即言通過“心一”的工夫達成“靜”之狀態，從而通曉天地之事並獲得治國之能力。同樣的思考還可見於以下的“識道”章。</w:t>
      </w:r>
    </w:p>
    <w:p>
      <w:pPr>
        <w:ind w:firstLine="560" w:firstLineChars="200"/>
        <w:rPr>
          <w:rFonts w:ascii="MingLiU" w:hAnsi="MingLiU" w:eastAsia="MingLiU" w:cs="MingLiU"/>
          <w:color w:val="000000"/>
          <w:sz w:val="28"/>
          <w:szCs w:val="28"/>
          <w:lang w:eastAsia="zh-TW"/>
        </w:rPr>
      </w:pPr>
    </w:p>
    <w:p>
      <w:pPr>
        <w:pStyle w:val="37"/>
        <w:spacing w:before="540" w:after="540"/>
        <w:ind w:firstLine="496"/>
        <w:rPr>
          <w:rFonts w:ascii="MingLiU" w:hAnsi="MingLiU" w:eastAsia="MingLiU" w:cs="MingLiU"/>
          <w:color w:val="000000"/>
          <w:sz w:val="28"/>
          <w:szCs w:val="28"/>
        </w:rPr>
      </w:pPr>
      <w:r>
        <w:rPr>
          <w:rFonts w:hint="eastAsia"/>
        </w:rPr>
        <w:t>聞之曰：識道坐不下席，端一【簡14】圖不與事。之知四海，至聽千里，達見百里。是故聖人處於其所，邦家之【簡16】安危存亡，賊盜之作可先知【簡26】。</w:t>
      </w:r>
    </w:p>
    <w:p>
      <w:pPr>
        <w:ind w:firstLine="560" w:firstLineChars="200"/>
        <w:rPr>
          <w:rFonts w:ascii="MingLiU" w:hAnsi="MingLiU" w:eastAsia="MingLiU" w:cs="MingLiU"/>
          <w:color w:val="000000"/>
          <w:sz w:val="28"/>
          <w:szCs w:val="28"/>
          <w:lang w:eastAsia="zh-TW" w:bidi="ar"/>
        </w:rPr>
      </w:pPr>
    </w:p>
    <w:p>
      <w:pPr>
        <w:pStyle w:val="41"/>
        <w:ind w:firstLine="560"/>
        <w:rPr>
          <w:lang w:eastAsia="zh-TW"/>
        </w:rPr>
      </w:pPr>
      <w:r>
        <w:rPr>
          <w:rFonts w:hint="eastAsia"/>
          <w:lang w:eastAsia="zh-TW"/>
        </w:rPr>
        <w:t>上述隸定爲</w:t>
      </w:r>
      <w:r>
        <w:rPr>
          <w:rFonts w:hint="eastAsia"/>
        </w:rPr>
        <w:t>“一”</w:t>
      </w:r>
      <w:r>
        <w:rPr>
          <w:rFonts w:hint="eastAsia"/>
          <w:lang w:eastAsia="zh-TW"/>
        </w:rPr>
        <w:t>的文字，原文作</w:t>
      </w:r>
      <w:r>
        <w:rPr>
          <w:rFonts w:hint="eastAsia"/>
        </w:rPr>
        <w:t>“</w:t>
      </w:r>
      <w:r>
        <w:drawing>
          <wp:inline distT="0" distB="0" distL="114300" distR="114300">
            <wp:extent cx="140335" cy="347345"/>
            <wp:effectExtent l="0" t="0" r="12065"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140335" cy="347345"/>
                    </a:xfrm>
                    <a:prstGeom prst="rect">
                      <a:avLst/>
                    </a:prstGeom>
                    <a:noFill/>
                    <a:ln>
                      <a:noFill/>
                    </a:ln>
                  </pic:spPr>
                </pic:pic>
              </a:graphicData>
            </a:graphic>
          </wp:inline>
        </w:drawing>
      </w:r>
      <w:r>
        <w:rPr>
          <w:rFonts w:hint="eastAsia"/>
        </w:rPr>
        <w:t>”</w:t>
      </w:r>
      <w:r>
        <w:rPr>
          <w:rFonts w:hint="eastAsia"/>
          <w:lang w:eastAsia="zh-TW"/>
        </w:rPr>
        <w:t>。</w:t>
      </w:r>
      <w:r>
        <w:rPr>
          <w:rStyle w:val="36"/>
          <w:rFonts w:hint="eastAsia" w:cs="宋体"/>
          <w:color w:val="000000"/>
          <w:szCs w:val="28"/>
          <w:lang w:eastAsia="zh-TW" w:bidi="ar"/>
        </w:rPr>
        <w:footnoteReference w:id="33"/>
      </w:r>
      <w:r>
        <w:rPr>
          <w:rFonts w:hint="eastAsia"/>
          <w:lang w:eastAsia="zh-TW"/>
        </w:rPr>
        <w:t>關於該字的釋讀存在爭議，在此姑且將其視爲與其形近的</w:t>
      </w:r>
      <w:r>
        <w:rPr>
          <w:rFonts w:hint="eastAsia"/>
        </w:rPr>
        <w:t>“</w:t>
      </w:r>
      <w:r>
        <w:drawing>
          <wp:inline distT="0" distB="0" distL="114300" distR="114300">
            <wp:extent cx="121920" cy="243840"/>
            <wp:effectExtent l="0" t="0" r="5080"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121920" cy="243840"/>
                    </a:xfrm>
                    <a:prstGeom prst="rect">
                      <a:avLst/>
                    </a:prstGeom>
                    <a:noFill/>
                    <a:ln>
                      <a:noFill/>
                    </a:ln>
                  </pic:spPr>
                </pic:pic>
              </a:graphicData>
            </a:graphic>
          </wp:inline>
        </w:drawing>
      </w:r>
      <w:r>
        <w:rPr>
          <w:rFonts w:hint="eastAsia"/>
        </w:rPr>
        <w:t>（一）”</w:t>
      </w:r>
      <w:r>
        <w:rPr>
          <w:rFonts w:hint="eastAsia"/>
          <w:lang w:eastAsia="zh-TW"/>
        </w:rPr>
        <w:t>字的誤抄。“識道坐不下席，端一圖不與事”中的“坐不下席”與“圖不與事”所言內容當大致相同，均與“靜”的狀態有關。</w:t>
      </w:r>
      <w:r>
        <w:rPr>
          <w:rStyle w:val="36"/>
          <w:rFonts w:hint="eastAsia" w:cs="宋体"/>
          <w:color w:val="000000"/>
          <w:szCs w:val="28"/>
          <w:lang w:eastAsia="zh-TW"/>
        </w:rPr>
        <w:footnoteReference w:id="34"/>
      </w:r>
      <w:r>
        <w:rPr>
          <w:rFonts w:hint="eastAsia"/>
          <w:lang w:eastAsia="zh-TW"/>
        </w:rPr>
        <w:t>可推知，二句之前的</w:t>
      </w:r>
      <w:r>
        <w:rPr>
          <w:rFonts w:hint="eastAsia"/>
        </w:rPr>
        <w:t>“識道”</w:t>
      </w:r>
      <w:r>
        <w:rPr>
          <w:rFonts w:hint="eastAsia"/>
          <w:lang w:eastAsia="zh-TW"/>
        </w:rPr>
        <w:t>與</w:t>
      </w:r>
      <w:r>
        <w:rPr>
          <w:rFonts w:hint="eastAsia"/>
        </w:rPr>
        <w:t>“端</w:t>
      </w:r>
      <w:r>
        <w:drawing>
          <wp:inline distT="0" distB="0" distL="114300" distR="114300">
            <wp:extent cx="140335" cy="347345"/>
            <wp:effectExtent l="0" t="0" r="12065"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140335" cy="347345"/>
                    </a:xfrm>
                    <a:prstGeom prst="rect">
                      <a:avLst/>
                    </a:prstGeom>
                    <a:noFill/>
                    <a:ln>
                      <a:noFill/>
                    </a:ln>
                  </pic:spPr>
                </pic:pic>
              </a:graphicData>
            </a:graphic>
          </wp:inline>
        </w:drawing>
      </w:r>
      <w:r>
        <w:rPr>
          <w:rFonts w:hint="eastAsia"/>
        </w:rPr>
        <w:t>”</w:t>
      </w:r>
      <w:r>
        <w:rPr>
          <w:rFonts w:hint="eastAsia"/>
          <w:lang w:eastAsia="zh-TW"/>
        </w:rPr>
        <w:t>亦當爲相類似的表現。假如將“端</w:t>
      </w:r>
      <w:r>
        <w:drawing>
          <wp:inline distT="0" distB="0" distL="114300" distR="114300">
            <wp:extent cx="140335" cy="347345"/>
            <wp:effectExtent l="0" t="0" r="12065"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140335" cy="347345"/>
                    </a:xfrm>
                    <a:prstGeom prst="rect">
                      <a:avLst/>
                    </a:prstGeom>
                    <a:noFill/>
                    <a:ln>
                      <a:noFill/>
                    </a:ln>
                  </pic:spPr>
                </pic:pic>
              </a:graphicData>
            </a:graphic>
          </wp:inline>
        </w:drawing>
      </w:r>
      <w:r>
        <w:rPr>
          <w:rFonts w:hint="eastAsia"/>
          <w:lang w:eastAsia="zh-TW"/>
        </w:rPr>
        <w:t>”釋作“端一”的話，可結合分別在簡25與簡20兩度出現的“識此言，起於一端”一句中的“一端”對其意涵進行考察。“一端”，當即使“（多）端”合而爲“一”的行爲。具體而言，即“心不勝心”章所涉及的“心勝心”或“心一”之工夫。而“端一”則指使內心之（多）端合而爲“一”之狀態。</w:t>
      </w:r>
      <w:r>
        <w:rPr>
          <w:rStyle w:val="36"/>
          <w:rFonts w:hint="eastAsia" w:cs="宋体"/>
          <w:color w:val="000000"/>
          <w:szCs w:val="28"/>
          <w:lang w:eastAsia="zh-TW"/>
        </w:rPr>
        <w:footnoteReference w:id="35"/>
      </w:r>
    </w:p>
    <w:p>
      <w:pPr>
        <w:pStyle w:val="41"/>
        <w:ind w:firstLine="560"/>
        <w:rPr>
          <w:lang w:eastAsia="zh-TW"/>
        </w:rPr>
      </w:pPr>
    </w:p>
    <w:p>
      <w:pPr>
        <w:pStyle w:val="41"/>
        <w:ind w:firstLine="560"/>
        <w:rPr>
          <w:rFonts w:cs="宋体"/>
          <w:color w:val="000000"/>
          <w:szCs w:val="28"/>
          <w:lang w:eastAsia="zh-TW" w:bidi="ar"/>
        </w:rPr>
      </w:pPr>
      <w:r>
        <w:rPr>
          <w:rFonts w:hint="eastAsia"/>
          <w:lang w:eastAsia="zh-TW"/>
        </w:rPr>
        <w:t>與</w:t>
      </w:r>
      <w:r>
        <w:rPr>
          <w:rFonts w:hint="eastAsia"/>
        </w:rPr>
        <w:t>“端一”</w:t>
      </w:r>
      <w:r>
        <w:rPr>
          <w:rFonts w:hint="eastAsia"/>
          <w:lang w:eastAsia="zh-TW"/>
        </w:rPr>
        <w:t>並列的</w:t>
      </w:r>
      <w:r>
        <w:rPr>
          <w:rFonts w:hint="eastAsia"/>
        </w:rPr>
        <w:t>“識道”</w:t>
      </w:r>
      <w:r>
        <w:rPr>
          <w:rFonts w:hint="eastAsia"/>
          <w:lang w:eastAsia="zh-TW"/>
        </w:rPr>
        <w:t>這一用語還出現在簡22</w:t>
      </w:r>
      <w:r>
        <w:rPr>
          <w:rFonts w:hint="eastAsia"/>
        </w:rPr>
        <w:t>“識道所以修身而治邦家”</w:t>
      </w:r>
      <w:r>
        <w:rPr>
          <w:rFonts w:hint="eastAsia"/>
          <w:lang w:eastAsia="zh-TW"/>
        </w:rPr>
        <w:t>一句中。將其與如下部分合而觀之，可知“識道”與“識一”的內容大致相當。</w:t>
      </w:r>
    </w:p>
    <w:p>
      <w:pPr>
        <w:ind w:firstLine="560" w:firstLineChars="200"/>
        <w:rPr>
          <w:rFonts w:ascii="MingLiU" w:hAnsi="MingLiU" w:eastAsia="MingLiU" w:cs="微软雅黑"/>
          <w:color w:val="000000"/>
          <w:sz w:val="28"/>
          <w:szCs w:val="28"/>
          <w:lang w:eastAsia="zh-TW" w:bidi="ar"/>
        </w:rPr>
      </w:pPr>
    </w:p>
    <w:p>
      <w:pPr>
        <w:pStyle w:val="37"/>
        <w:spacing w:before="540" w:after="540"/>
        <w:ind w:firstLine="496"/>
      </w:pPr>
      <w:r>
        <w:rPr>
          <w:rFonts w:hint="eastAsia"/>
        </w:rPr>
        <w:t>聞之曰：能識一，則百物不失。如不能識一，則【簡22】百物倶失。…得一而【簡23】圖之，如幷天下而取之。得一而思之，若幷天下而治之。【簡17】</w:t>
      </w:r>
    </w:p>
    <w:p>
      <w:pPr>
        <w:rPr>
          <w:rFonts w:ascii="MingLiU" w:hAnsi="MingLiU" w:eastAsia="MingLiU" w:cs="MingLiU"/>
          <w:color w:val="000000"/>
          <w:sz w:val="28"/>
          <w:szCs w:val="28"/>
          <w:lang w:eastAsia="zh-TW" w:bidi="ar"/>
        </w:rPr>
      </w:pPr>
    </w:p>
    <w:p>
      <w:pPr>
        <w:pStyle w:val="41"/>
        <w:ind w:firstLine="0" w:firstLineChars="0"/>
        <w:rPr>
          <w:lang w:eastAsia="zh-TW"/>
        </w:rPr>
      </w:pPr>
      <w:r>
        <w:rPr>
          <w:rFonts w:hint="eastAsia"/>
          <w:lang w:eastAsia="zh-TW"/>
        </w:rPr>
        <w:t>無論將“端</w:t>
      </w:r>
      <w:r>
        <w:drawing>
          <wp:inline distT="0" distB="0" distL="114300" distR="114300">
            <wp:extent cx="140335" cy="347345"/>
            <wp:effectExtent l="0" t="0" r="1206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140335" cy="347345"/>
                    </a:xfrm>
                    <a:prstGeom prst="rect">
                      <a:avLst/>
                    </a:prstGeom>
                    <a:noFill/>
                    <a:ln>
                      <a:noFill/>
                    </a:ln>
                  </pic:spPr>
                </pic:pic>
              </a:graphicData>
            </a:graphic>
          </wp:inline>
        </w:drawing>
      </w:r>
      <w:r>
        <w:rPr>
          <w:rFonts w:hint="eastAsia"/>
          <w:lang w:eastAsia="zh-TW"/>
        </w:rPr>
        <w:t>”釋作“端一”是否得當，我們可以確定的是上，述“識道”章中的“識道”與“識一”均涉及統治者執政方面的利益，兩者當爲同等概念。</w:t>
      </w:r>
    </w:p>
    <w:p>
      <w:pPr>
        <w:rPr>
          <w:rFonts w:cs="宋体"/>
          <w:color w:val="000000"/>
          <w:sz w:val="28"/>
          <w:szCs w:val="28"/>
          <w:lang w:eastAsia="zh-TW" w:bidi="ar"/>
        </w:rPr>
      </w:pPr>
    </w:p>
    <w:p>
      <w:pPr>
        <w:pStyle w:val="41"/>
        <w:ind w:firstLine="560"/>
        <w:rPr>
          <w:lang w:eastAsia="zh-TW"/>
        </w:rPr>
      </w:pPr>
      <w:r>
        <w:rPr>
          <w:rFonts w:hint="eastAsia"/>
          <w:lang w:eastAsia="zh-TW"/>
        </w:rPr>
        <w:t>值得一提的是，已有不少學者指出，上述</w:t>
      </w:r>
      <w:r>
        <w:rPr>
          <w:rFonts w:hint="eastAsia"/>
        </w:rPr>
        <w:t>“識道”</w:t>
      </w:r>
      <w:r>
        <w:rPr>
          <w:rFonts w:hint="eastAsia"/>
          <w:lang w:eastAsia="zh-TW"/>
        </w:rPr>
        <w:t>章整體上與傳世本《老子》第四十七章</w:t>
      </w:r>
      <w:r>
        <w:rPr>
          <w:rFonts w:hint="eastAsia"/>
        </w:rPr>
        <w:t>“不出戸知天下，不闚牖見天道。其出彌遠，其知彌少。是以聖人不行而知，不見而名，不爲而成”</w:t>
      </w:r>
      <w:r>
        <w:rPr>
          <w:rFonts w:hint="eastAsia"/>
          <w:lang w:eastAsia="zh-TW"/>
        </w:rPr>
        <w:t>的主旨相似</w:t>
      </w:r>
      <w:r>
        <w:rPr>
          <w:rStyle w:val="36"/>
          <w:rFonts w:hint="eastAsia" w:cs="宋体"/>
          <w:color w:val="000000"/>
          <w:szCs w:val="28"/>
          <w:lang w:eastAsia="zh-TW" w:bidi="ar"/>
        </w:rPr>
        <w:footnoteReference w:id="36"/>
      </w:r>
      <w:r>
        <w:rPr>
          <w:rFonts w:hint="eastAsia"/>
          <w:lang w:eastAsia="zh-TW"/>
        </w:rPr>
        <w:t>。《老子》是章主要涉及聖人之“無爲”。因此，“識道”章中的“坐不下席”、“圖不與事”等涉及“靜”的表現亦可以與統治者的“無爲”聯係在一起。在《凡物流形》中，這種表現爲“靜”的“無爲”是爲“識道（＝識一）”或“一端”之工夫的結果。而在這種“無爲”的狀態下，統治者可以獲得“之知四海，至聽千里，達見百里”</w:t>
      </w:r>
      <w:r>
        <w:rPr>
          <w:rStyle w:val="36"/>
          <w:rFonts w:hint="eastAsia" w:cs="宋体"/>
          <w:color w:val="000000"/>
          <w:szCs w:val="28"/>
          <w:lang w:eastAsia="zh-TW"/>
        </w:rPr>
        <w:footnoteReference w:id="37"/>
      </w:r>
      <w:r>
        <w:rPr>
          <w:rFonts w:hint="eastAsia"/>
          <w:lang w:eastAsia="zh-TW"/>
        </w:rPr>
        <w:t>、“處於其所，邦家之安危存亡，賊盜之作可先知”等治國、知天下的利益。如此一來，可以認爲“識道”章與之前的“心不勝心”章均涉及某種“無爲之治”的思想。然而值得注意的是，《凡物流形》全篇並沒有出現“無爲”這一字眼。有關這點涉及的思想史上的意義留待下節討論。在此需要首先明確的一個關鍵問題是，統治者是如何通過“心一”的工夫獲得上述執政方面的利益的。</w:t>
      </w:r>
    </w:p>
    <w:p>
      <w:pPr>
        <w:pStyle w:val="41"/>
        <w:ind w:firstLine="560"/>
        <w:rPr>
          <w:lang w:eastAsia="zh-TW"/>
        </w:rPr>
      </w:pPr>
    </w:p>
    <w:p>
      <w:pPr>
        <w:pStyle w:val="41"/>
        <w:ind w:firstLine="560"/>
        <w:rPr>
          <w:rFonts w:cs="宋体"/>
          <w:color w:val="000000"/>
          <w:szCs w:val="28"/>
          <w:lang w:eastAsia="zh-TW"/>
        </w:rPr>
      </w:pPr>
      <w:r>
        <w:rPr>
          <w:rFonts w:hint="eastAsia"/>
          <w:lang w:eastAsia="zh-TW"/>
        </w:rPr>
        <w:t>結合前章有關形而上學</w:t>
      </w:r>
      <w:r>
        <w:rPr>
          <w:rFonts w:hint="eastAsia"/>
        </w:rPr>
        <w:t>“一”</w:t>
      </w:r>
      <w:r>
        <w:rPr>
          <w:rFonts w:hint="eastAsia"/>
          <w:lang w:eastAsia="zh-TW"/>
        </w:rPr>
        <w:t>的思想的討論，我們不難發現從整體思路來看《凡物流形》實際上是將形而上學的</w:t>
      </w:r>
      <w:r>
        <w:rPr>
          <w:rFonts w:hint="eastAsia"/>
        </w:rPr>
        <w:t>“一”</w:t>
      </w:r>
      <w:r>
        <w:rPr>
          <w:rFonts w:hint="eastAsia"/>
          <w:lang w:eastAsia="zh-TW"/>
        </w:rPr>
        <w:t>的思想直接導入了人文政治領域。即因爲“一”爲萬物生成、運動的根源，同時又是萬物循環往復以至永續的根據，故統治者通過“心一”的工夫“識一”、“識道”則可獲得“大【簡29】之以知天下、小之以治邦【簡30】”</w:t>
      </w:r>
      <w:r>
        <w:rPr>
          <w:rStyle w:val="36"/>
          <w:rFonts w:hint="eastAsia" w:cs="宋体"/>
          <w:color w:val="000000"/>
          <w:szCs w:val="28"/>
          <w:lang w:eastAsia="zh-TW" w:bidi="ar"/>
        </w:rPr>
        <w:footnoteReference w:id="38"/>
      </w:r>
      <w:r>
        <w:rPr>
          <w:rFonts w:hint="eastAsia"/>
          <w:lang w:eastAsia="zh-TW"/>
        </w:rPr>
        <w:t>的執政上的利益。由於各部分所涉的“一”的實際內容不盡相同，這種通過“心一”的工夫體認形而上學的“一”進而獲得政治利益的思考模式在邏輯上是否能夠成立，是否具有有足夠的說服力另當別論。但從文本本身來看，這種思考模式確爲《凡物流形》的一大特徵。再來看以下部分。</w:t>
      </w:r>
    </w:p>
    <w:p>
      <w:pPr>
        <w:ind w:firstLine="560" w:firstLineChars="200"/>
        <w:rPr>
          <w:rFonts w:ascii="MingLiU" w:hAnsi="MingLiU" w:eastAsia="MingLiU" w:cs="MingLiU"/>
          <w:color w:val="000000"/>
          <w:sz w:val="28"/>
          <w:szCs w:val="28"/>
          <w:lang w:eastAsia="zh-TW"/>
        </w:rPr>
      </w:pPr>
    </w:p>
    <w:p>
      <w:pPr>
        <w:pStyle w:val="37"/>
        <w:spacing w:before="540" w:after="540"/>
        <w:ind w:firstLine="496"/>
      </w:pPr>
      <w:r>
        <w:rPr>
          <w:rFonts w:hint="eastAsia"/>
        </w:rPr>
        <w:t>天地立終立始。天降五度，吾奚【簡3】衡奚縱？五氣並至，吾奚異奚同？五言在人，孰爲之公？九域出謀，孰爲之逢？【簡4】…順天之道、奚以爲首？吾欲得【簡7】百姓之和，吾奚事之？【簡8】</w:t>
      </w:r>
    </w:p>
    <w:p>
      <w:pPr>
        <w:ind w:left="720" w:leftChars="300"/>
        <w:rPr>
          <w:rFonts w:ascii="MingLiU" w:hAnsi="MingLiU" w:eastAsia="MingLiU" w:cs="MingLiU"/>
          <w:color w:val="000000"/>
          <w:sz w:val="28"/>
          <w:szCs w:val="28"/>
          <w:lang w:eastAsia="zh-TW" w:bidi="ar"/>
        </w:rPr>
      </w:pPr>
    </w:p>
    <w:p>
      <w:pPr>
        <w:pStyle w:val="41"/>
        <w:ind w:firstLine="560"/>
        <w:rPr>
          <w:lang w:eastAsia="zh-TW"/>
        </w:rPr>
      </w:pPr>
      <w:r>
        <w:rPr>
          <w:rFonts w:hint="eastAsia"/>
          <w:lang w:eastAsia="zh-TW"/>
        </w:rPr>
        <w:t>上述涉及的</w:t>
      </w:r>
      <w:r>
        <w:rPr>
          <w:rFonts w:hint="eastAsia"/>
        </w:rPr>
        <w:t>“五度”</w:t>
      </w:r>
      <w:r>
        <w:rPr>
          <w:rFonts w:hint="eastAsia"/>
          <w:lang w:eastAsia="zh-TW"/>
        </w:rPr>
        <w:t>、</w:t>
      </w:r>
      <w:r>
        <w:rPr>
          <w:rFonts w:hint="eastAsia"/>
        </w:rPr>
        <w:t>“五氣”</w:t>
      </w:r>
      <w:r>
        <w:rPr>
          <w:rFonts w:hint="eastAsia"/>
          <w:lang w:eastAsia="zh-TW"/>
        </w:rPr>
        <w:t>、</w:t>
      </w:r>
      <w:r>
        <w:rPr>
          <w:rFonts w:hint="eastAsia"/>
        </w:rPr>
        <w:t>“五言”</w:t>
      </w:r>
      <w:r>
        <w:rPr>
          <w:rFonts w:hint="eastAsia"/>
          <w:lang w:eastAsia="zh-TW"/>
        </w:rPr>
        <w:t>、</w:t>
      </w:r>
      <w:r>
        <w:rPr>
          <w:rFonts w:hint="eastAsia"/>
        </w:rPr>
        <w:t>“（出於九域之）謀”</w:t>
      </w:r>
      <w:r>
        <w:rPr>
          <w:rFonts w:hint="eastAsia"/>
          <w:lang w:eastAsia="zh-TW"/>
        </w:rPr>
        <w:t>爲天地成立之後由</w:t>
      </w:r>
      <w:r>
        <w:rPr>
          <w:rFonts w:hint="eastAsia"/>
        </w:rPr>
        <w:t>“天”</w:t>
      </w:r>
      <w:r>
        <w:rPr>
          <w:rFonts w:hint="eastAsia"/>
          <w:lang w:eastAsia="zh-TW"/>
        </w:rPr>
        <w:t>或</w:t>
      </w:r>
      <w:r>
        <w:rPr>
          <w:rFonts w:hint="eastAsia"/>
        </w:rPr>
        <w:t>“人”</w:t>
      </w:r>
      <w:r>
        <w:rPr>
          <w:rFonts w:hint="eastAsia"/>
          <w:lang w:eastAsia="zh-TW"/>
        </w:rPr>
        <w:t>所衍生出的各種雜多之事物。《凡物流形》的作者表面上對當如何從中作出取捨提出疑問，實際主張的當是擯棄上述在天地生成之後衍生出的繁雜之物</w:t>
      </w:r>
      <w:r>
        <w:rPr>
          <w:rStyle w:val="36"/>
          <w:rFonts w:hint="eastAsia" w:cs="宋体"/>
          <w:color w:val="000000"/>
          <w:szCs w:val="28"/>
          <w:lang w:eastAsia="zh-TW" w:bidi="ar"/>
        </w:rPr>
        <w:footnoteReference w:id="39"/>
      </w:r>
      <w:r>
        <w:rPr>
          <w:rFonts w:hint="eastAsia"/>
          <w:lang w:eastAsia="zh-TW"/>
        </w:rPr>
        <w:t>，以萬物生成、存續之根源的“一”爲宗，並以此而獲得治理天下之能力。</w:t>
      </w:r>
    </w:p>
    <w:p>
      <w:pPr>
        <w:rPr>
          <w:rFonts w:cs="宋体"/>
          <w:sz w:val="28"/>
          <w:szCs w:val="28"/>
          <w:lang w:eastAsia="zh-TW"/>
        </w:rPr>
      </w:pPr>
    </w:p>
    <w:p>
      <w:pPr>
        <w:pStyle w:val="43"/>
        <w:rPr>
          <w:sz w:val="28"/>
          <w:szCs w:val="28"/>
          <w:lang w:eastAsia="zh-TW"/>
        </w:rPr>
      </w:pPr>
      <w:r>
        <w:rPr>
          <w:rFonts w:hint="eastAsia"/>
          <w:sz w:val="28"/>
          <w:szCs w:val="28"/>
          <w:lang w:eastAsia="zh-TW"/>
        </w:rPr>
        <w:t>三、《凡物流形》的思想結構及其</w:t>
      </w:r>
      <w:r>
        <w:rPr>
          <w:rFonts w:hint="eastAsia"/>
          <w:sz w:val="28"/>
          <w:szCs w:val="28"/>
        </w:rPr>
        <w:t>“無爲”</w:t>
      </w:r>
      <w:r>
        <w:rPr>
          <w:rFonts w:hint="eastAsia"/>
          <w:sz w:val="28"/>
          <w:szCs w:val="28"/>
          <w:lang w:eastAsia="zh-TW"/>
        </w:rPr>
        <w:t>思想的特徴</w:t>
      </w:r>
    </w:p>
    <w:p>
      <w:pPr>
        <w:rPr>
          <w:rFonts w:cs="宋体"/>
          <w:sz w:val="28"/>
          <w:szCs w:val="28"/>
          <w:lang w:eastAsia="zh-TW"/>
        </w:rPr>
      </w:pPr>
    </w:p>
    <w:p>
      <w:pPr>
        <w:pStyle w:val="41"/>
        <w:ind w:firstLine="560"/>
        <w:rPr>
          <w:lang w:eastAsia="zh-TW"/>
        </w:rPr>
      </w:pPr>
      <w:r>
        <w:rPr>
          <w:rFonts w:hint="eastAsia"/>
          <w:lang w:eastAsia="zh-TW"/>
        </w:rPr>
        <w:t>通過上述分析，我們可對《凡物流形》思想的主要內容及其思想結構作如下總結。</w:t>
      </w:r>
    </w:p>
    <w:p>
      <w:pPr>
        <w:pStyle w:val="41"/>
        <w:ind w:firstLine="560"/>
        <w:rPr>
          <w:lang w:eastAsia="zh-TW"/>
        </w:rPr>
      </w:pPr>
    </w:p>
    <w:p>
      <w:pPr>
        <w:pStyle w:val="41"/>
        <w:ind w:firstLine="560"/>
        <w:rPr>
          <w:lang w:eastAsia="zh-TW"/>
        </w:rPr>
      </w:pPr>
      <w:r>
        <w:rPr>
          <w:rFonts w:hint="eastAsia"/>
          <w:lang w:eastAsia="zh-TW"/>
        </w:rPr>
        <w:t>《凡物流形》將</w:t>
      </w:r>
      <w:r>
        <w:rPr>
          <w:rFonts w:hint="eastAsia"/>
        </w:rPr>
        <w:t>“一”</w:t>
      </w:r>
      <w:r>
        <w:rPr>
          <w:rFonts w:hint="eastAsia"/>
          <w:lang w:eastAsia="zh-TW"/>
        </w:rPr>
        <w:t>視爲萬物生成的根源，提出了由</w:t>
      </w:r>
      <w:r>
        <w:rPr>
          <w:rFonts w:hint="eastAsia"/>
        </w:rPr>
        <w:t>“一”</w:t>
      </w:r>
      <w:r>
        <w:rPr>
          <w:rFonts w:hint="eastAsia"/>
          <w:lang w:eastAsia="zh-TW"/>
        </w:rPr>
        <w:t>經</w:t>
      </w:r>
      <w:r>
        <w:rPr>
          <w:rFonts w:hint="eastAsia"/>
        </w:rPr>
        <w:t>“兩”</w:t>
      </w:r>
      <w:r>
        <w:rPr>
          <w:rFonts w:hint="eastAsia"/>
          <w:lang w:eastAsia="zh-TW"/>
        </w:rPr>
        <w:t>、</w:t>
      </w:r>
      <w:r>
        <w:rPr>
          <w:rFonts w:hint="eastAsia"/>
        </w:rPr>
        <w:t>“參”</w:t>
      </w:r>
      <w:r>
        <w:rPr>
          <w:rFonts w:hint="eastAsia"/>
          <w:lang w:eastAsia="zh-TW"/>
        </w:rPr>
        <w:t>、</w:t>
      </w:r>
      <w:r>
        <w:rPr>
          <w:rFonts w:hint="eastAsia"/>
        </w:rPr>
        <w:t>“四”</w:t>
      </w:r>
      <w:r>
        <w:rPr>
          <w:rFonts w:hint="eastAsia"/>
          <w:lang w:eastAsia="zh-TW"/>
        </w:rPr>
        <w:t>至萬物生成的生成論。這種生成論跟《太一生水》中將在“太一”直接作用下生成的“水”、“天”、“地”以及“天地”以下的生成之物作出區分的生成論形式存在對應關係。除作爲萬物生成及存在活動的根據之外，“一”還被視爲萬物循環往復以至永續的根源。《凡物流形》提出世間萬物循環往復（即“復”）之所以能夠成爲可能，是因爲循環往復的極點即相互對立的事物具有同一性，故而得以相互轉換以至循環不止。而這種同一性的根據同樣爲“一”。</w:t>
      </w:r>
    </w:p>
    <w:p>
      <w:pPr>
        <w:pStyle w:val="41"/>
        <w:ind w:firstLine="560"/>
        <w:rPr>
          <w:lang w:eastAsia="zh-TW"/>
        </w:rPr>
      </w:pPr>
    </w:p>
    <w:p>
      <w:pPr>
        <w:pStyle w:val="41"/>
        <w:ind w:firstLine="560"/>
        <w:rPr>
          <w:lang w:eastAsia="zh-TW"/>
        </w:rPr>
      </w:pPr>
      <w:r>
        <w:rPr>
          <w:rFonts w:hint="eastAsia"/>
          <w:lang w:eastAsia="zh-TW"/>
        </w:rPr>
        <w:t>以上述形而上學的“一”的思想爲基礎，《凡物流形》進一步展開了其政治思想的建構。統治者通過“心一”或“一端”的工夫“識一”、“識道”，並達成自內而外之“一”而“靜”的狀態。如此則可“無爲”而治國、知天下。而統治者之所以可以獲得如是執政上的利益，根本在於“一”是爲萬物生成、行動以及永續的根源，通過“心一”工夫“識一”、“識道”自可獲得治國、知天下之能力。《凡物流形》全篇各章節看似相互獨立，然而通過對其文本的深入探索可知，其整體理論結構相對完善，並非一個松散的結構。</w:t>
      </w:r>
    </w:p>
    <w:p>
      <w:pPr>
        <w:pStyle w:val="41"/>
        <w:ind w:firstLine="560"/>
        <w:rPr>
          <w:lang w:eastAsia="zh-TW"/>
        </w:rPr>
      </w:pPr>
    </w:p>
    <w:p>
      <w:pPr>
        <w:pStyle w:val="41"/>
        <w:ind w:firstLine="560"/>
        <w:rPr>
          <w:rFonts w:ascii="MingLiU" w:hAnsi="MingLiU" w:eastAsia="MingLiU" w:cs="MingLiU"/>
          <w:szCs w:val="28"/>
          <w:lang w:eastAsia="zh-TW"/>
        </w:rPr>
      </w:pPr>
      <w:r>
        <w:rPr>
          <w:rFonts w:hint="eastAsia"/>
          <w:lang w:eastAsia="zh-TW"/>
        </w:rPr>
        <w:t>《凡物流形》後半部在圍繞上述</w:t>
      </w:r>
      <w:r>
        <w:rPr>
          <w:rFonts w:hint="eastAsia"/>
        </w:rPr>
        <w:t>“一”</w:t>
      </w:r>
      <w:r>
        <w:rPr>
          <w:rFonts w:hint="eastAsia"/>
          <w:lang w:eastAsia="zh-TW"/>
        </w:rPr>
        <w:t>的思想展開的同時也涉及了</w:t>
      </w:r>
      <w:r>
        <w:rPr>
          <w:rFonts w:hint="eastAsia"/>
        </w:rPr>
        <w:t>“道”</w:t>
      </w:r>
      <w:r>
        <w:rPr>
          <w:rFonts w:hint="eastAsia"/>
          <w:lang w:eastAsia="zh-TW"/>
        </w:rPr>
        <w:t>這一概念。只不過“道”的出現非常有限。且如上節所示，在《凡物流形》中兩次出現的“道”實際上是“一”的另一種說法。此外，《凡物流形》雖然存在某種“無爲”而治的思想，但縱觀其文本，並沒有出現“無爲”這一用語，甚至亦沒有出現具有形而上學意義的“無”這一字眼。與部分傳世本的道家相關文獻不同，《凡物流形》並非通過“道”=“虛”、“無”、“無形”導出“無爲”。且細考《凡物流形》文本，我們會發現其作者似乎刻意迴避了與“無”相關的用語，有意識地避免將“道”與“無”劃等號。筆者以爲，以下對“一”的性質狀態進行描述的部分，作者亦即針對“無”之“道”，有意識地強調了“一”可以用感官感知的特點。</w:t>
      </w:r>
    </w:p>
    <w:p>
      <w:pPr>
        <w:rPr>
          <w:rFonts w:ascii="MingLiU" w:hAnsi="MingLiU" w:eastAsia="MingLiU" w:cs="MingLiU"/>
          <w:sz w:val="28"/>
          <w:szCs w:val="28"/>
          <w:lang w:eastAsia="zh-TW"/>
        </w:rPr>
      </w:pPr>
    </w:p>
    <w:p>
      <w:pPr>
        <w:pStyle w:val="37"/>
        <w:spacing w:before="540" w:after="540"/>
        <w:ind w:firstLine="496"/>
      </w:pPr>
      <w:r>
        <w:rPr>
          <w:rFonts w:hint="eastAsia"/>
        </w:rPr>
        <w:t>是故一咀之有味，嗅之有臭，鼓之有聲，近之可見，操之可操。握之則失，敗之則【簡19】槁，賊之則滅。識此言，起於一端【簡20】。</w:t>
      </w:r>
    </w:p>
    <w:p>
      <w:pPr>
        <w:rPr>
          <w:rFonts w:ascii="MingLiU" w:hAnsi="MingLiU" w:eastAsia="MingLiU" w:cs="MingLiU"/>
          <w:sz w:val="28"/>
          <w:szCs w:val="28"/>
          <w:lang w:eastAsia="zh-TW"/>
        </w:rPr>
      </w:pPr>
    </w:p>
    <w:p>
      <w:pPr>
        <w:pStyle w:val="41"/>
        <w:ind w:firstLine="560"/>
        <w:rPr>
          <w:lang w:eastAsia="zh-TW"/>
        </w:rPr>
      </w:pPr>
      <w:r>
        <w:rPr>
          <w:rFonts w:hint="eastAsia"/>
          <w:lang w:eastAsia="zh-TW"/>
        </w:rPr>
        <w:t>眾所周知，與道家相關的文獻多將</w:t>
      </w:r>
      <w:r>
        <w:rPr>
          <w:rFonts w:hint="eastAsia"/>
        </w:rPr>
        <w:t>“道”</w:t>
      </w:r>
      <w:r>
        <w:rPr>
          <w:rFonts w:hint="eastAsia"/>
          <w:lang w:eastAsia="zh-TW"/>
        </w:rPr>
        <w:t>描述爲無法用感官感知的存在。如傳世本《老子》第十四章“視之不見，名曰夷。聽之不聞，名曰希。搏之不得，名曰微”即涉及“道”的這一特徵。從“道”的“虛”、“無”的特徵出發強調其不可經感官認知頗爲自然。然而從思想結構來看，以“一”爲依據的《凡物流形》的“無爲”思想本沒有必須強調“一”可以通過感官進行感知的必要。《凡物流形》的作者之所以強調這點，當是爲了與先行存在的以“無”爲特徵的“道”思想進行區分，有意識地強調了“一”的這一特徵，以建構一種與之不同的以“一”爲根據的“無爲”的思想。</w:t>
      </w:r>
    </w:p>
    <w:p>
      <w:pPr>
        <w:pStyle w:val="41"/>
        <w:ind w:firstLine="560"/>
        <w:rPr>
          <w:lang w:eastAsia="zh-TW"/>
        </w:rPr>
      </w:pPr>
    </w:p>
    <w:p>
      <w:pPr>
        <w:pStyle w:val="41"/>
        <w:ind w:firstLine="560"/>
        <w:rPr>
          <w:lang w:eastAsia="zh-TW"/>
        </w:rPr>
      </w:pPr>
      <w:r>
        <w:rPr>
          <w:rFonts w:hint="eastAsia"/>
          <w:lang w:eastAsia="zh-TW"/>
        </w:rPr>
        <w:t>然而，不同於從</w:t>
      </w:r>
      <w:r>
        <w:rPr>
          <w:rFonts w:hint="eastAsia"/>
        </w:rPr>
        <w:t>“虛無”</w:t>
      </w:r>
      <w:r>
        <w:rPr>
          <w:rFonts w:hint="eastAsia"/>
          <w:lang w:eastAsia="zh-TW"/>
        </w:rPr>
        <w:t>之</w:t>
      </w:r>
      <w:r>
        <w:rPr>
          <w:rFonts w:hint="eastAsia"/>
        </w:rPr>
        <w:t>“道”</w:t>
      </w:r>
      <w:r>
        <w:rPr>
          <w:rFonts w:hint="eastAsia"/>
          <w:lang w:eastAsia="zh-TW"/>
        </w:rPr>
        <w:t>的角度主張</w:t>
      </w:r>
      <w:r>
        <w:rPr>
          <w:rFonts w:hint="eastAsia"/>
        </w:rPr>
        <w:t>“無爲”</w:t>
      </w:r>
      <w:r>
        <w:rPr>
          <w:rFonts w:hint="eastAsia"/>
          <w:lang w:eastAsia="zh-TW"/>
        </w:rPr>
        <w:t>，形而上學的</w:t>
      </w:r>
      <w:r>
        <w:rPr>
          <w:rFonts w:hint="eastAsia"/>
        </w:rPr>
        <w:t>“一”</w:t>
      </w:r>
      <w:r>
        <w:rPr>
          <w:rFonts w:hint="eastAsia"/>
          <w:lang w:eastAsia="zh-TW"/>
        </w:rPr>
        <w:t>並不能直接與</w:t>
      </w:r>
      <w:r>
        <w:rPr>
          <w:rFonts w:hint="eastAsia"/>
        </w:rPr>
        <w:t>“靜”</w:t>
      </w:r>
      <w:r>
        <w:rPr>
          <w:rFonts w:hint="eastAsia"/>
          <w:lang w:eastAsia="zh-TW"/>
        </w:rPr>
        <w:t>或</w:t>
      </w:r>
      <w:r>
        <w:rPr>
          <w:rFonts w:hint="eastAsia"/>
        </w:rPr>
        <w:t>“無爲”</w:t>
      </w:r>
      <w:r>
        <w:rPr>
          <w:rFonts w:hint="eastAsia"/>
          <w:lang w:eastAsia="zh-TW"/>
        </w:rPr>
        <w:t>相連結。因此《凡物流形》只能借由“心一”的工夫導出“靜”的狀態，間接將“一”與“無爲”的政治聯繫在一起。然而，無論是作爲萬物生成根源的“一”，還是作爲循環往復根據的“（同）一”都與“心一”的“一”即“專”不盡相同。</w:t>
      </w:r>
      <w:r>
        <w:rPr>
          <w:rStyle w:val="36"/>
          <w:rFonts w:hint="eastAsia" w:cs="宋体"/>
          <w:szCs w:val="28"/>
          <w:lang w:eastAsia="zh-TW" w:bidi="ar"/>
        </w:rPr>
        <w:footnoteReference w:id="40"/>
      </w:r>
      <w:r>
        <w:rPr>
          <w:rFonts w:hint="eastAsia"/>
          <w:lang w:eastAsia="zh-TW"/>
        </w:rPr>
        <w:t>《凡物流形》將具有不同意函的</w:t>
      </w:r>
      <w:r>
        <w:rPr>
          <w:rFonts w:hint="eastAsia"/>
        </w:rPr>
        <w:t>“一”</w:t>
      </w:r>
      <w:r>
        <w:rPr>
          <w:rFonts w:hint="eastAsia"/>
          <w:lang w:eastAsia="zh-TW"/>
        </w:rPr>
        <w:t>統攝在同一個</w:t>
      </w:r>
      <w:r>
        <w:rPr>
          <w:rFonts w:hint="eastAsia"/>
        </w:rPr>
        <w:t>“一”</w:t>
      </w:r>
      <w:r>
        <w:rPr>
          <w:rFonts w:hint="eastAsia"/>
          <w:lang w:eastAsia="zh-TW"/>
        </w:rPr>
        <w:t>的概念之下構建的理論體系是否具有足夠的說服力是個疑問。且從理論結構來看，與以“心一”的工夫爲媒介間接導出的“無爲”相比，由“道”=“無”直接導出的“無爲”思想顯然要簡單自然得多。隨之而來的疑問是，《凡物流形》的作者爲何要捨近求遠構建一種以“一”爲根據的“無爲”的思想？</w:t>
      </w:r>
    </w:p>
    <w:p>
      <w:pPr>
        <w:pStyle w:val="41"/>
        <w:ind w:firstLine="560"/>
        <w:rPr>
          <w:lang w:eastAsia="zh-TW"/>
        </w:rPr>
      </w:pPr>
    </w:p>
    <w:p>
      <w:pPr>
        <w:pStyle w:val="41"/>
        <w:ind w:firstLine="560"/>
        <w:rPr>
          <w:lang w:eastAsia="zh-TW"/>
        </w:rPr>
      </w:pPr>
      <w:r>
        <w:rPr>
          <w:rFonts w:hint="eastAsia"/>
          <w:lang w:eastAsia="zh-TW"/>
        </w:rPr>
        <w:t>必須指出的是，</w:t>
      </w:r>
      <w:r>
        <w:rPr>
          <w:rFonts w:hint="eastAsia"/>
        </w:rPr>
        <w:t>“道”</w:t>
      </w:r>
      <w:r>
        <w:rPr>
          <w:rFonts w:hint="eastAsia"/>
          <w:lang w:eastAsia="zh-TW"/>
        </w:rPr>
        <w:t>=</w:t>
      </w:r>
      <w:r>
        <w:rPr>
          <w:rFonts w:hint="eastAsia"/>
        </w:rPr>
        <w:t>“無”</w:t>
      </w:r>
      <w:r>
        <w:rPr>
          <w:rFonts w:hint="eastAsia"/>
          <w:lang w:eastAsia="zh-TW"/>
        </w:rPr>
        <w:t>導出的</w:t>
      </w:r>
      <w:r>
        <w:rPr>
          <w:rFonts w:hint="eastAsia"/>
        </w:rPr>
        <w:t>“無爲”</w:t>
      </w:r>
      <w:r>
        <w:rPr>
          <w:rFonts w:hint="eastAsia"/>
          <w:lang w:eastAsia="zh-TW"/>
        </w:rPr>
        <w:t>的思想，在強調百姓的</w:t>
      </w:r>
      <w:r>
        <w:rPr>
          <w:rFonts w:hint="eastAsia"/>
        </w:rPr>
        <w:t>“自然”</w:t>
      </w:r>
      <w:r>
        <w:rPr>
          <w:rFonts w:hint="eastAsia"/>
          <w:lang w:eastAsia="zh-TW"/>
        </w:rPr>
        <w:t>、</w:t>
      </w:r>
      <w:r>
        <w:rPr>
          <w:rFonts w:hint="eastAsia"/>
        </w:rPr>
        <w:t>“自生”</w:t>
      </w:r>
      <w:r>
        <w:rPr>
          <w:rFonts w:hint="eastAsia"/>
          <w:lang w:eastAsia="zh-TW"/>
        </w:rPr>
        <w:t>的同時</w:t>
      </w:r>
      <w:r>
        <w:rPr>
          <w:rStyle w:val="36"/>
          <w:rFonts w:hint="eastAsia" w:cs="宋体"/>
          <w:szCs w:val="28"/>
          <w:lang w:eastAsia="zh-TW" w:bidi="ar"/>
        </w:rPr>
        <w:footnoteReference w:id="41"/>
      </w:r>
      <w:r>
        <w:rPr>
          <w:rFonts w:hint="eastAsia"/>
          <w:lang w:eastAsia="zh-TW"/>
        </w:rPr>
        <w:t>，實際上對統治者進行了弱化甚至無化。與此相對的，在強調統治者通過“識一”獲得統治上利益的《凡物流形》的“無爲”的思想中，統治者的權力實際上得到了強化。例如，“一言而和（？）不窮。</w:t>
      </w:r>
      <w:r>
        <w:rPr>
          <w:rStyle w:val="36"/>
          <w:rFonts w:hint="eastAsia"/>
          <w:lang w:eastAsia="zh-TW"/>
        </w:rPr>
        <w:footnoteReference w:id="42"/>
      </w:r>
      <w:r>
        <w:rPr>
          <w:rFonts w:hint="eastAsia"/>
          <w:lang w:eastAsia="zh-TW"/>
        </w:rPr>
        <w:t>一言而有衆【簡20】。一言而萬民之利。一言而爲天地旨【簡29】”一句，非但不似《老子》那般否定了統治者的聲教政令，其中出現的“一言”這一用語反而具有某種集權色彩。</w:t>
      </w:r>
      <w:r>
        <w:rPr>
          <w:rStyle w:val="36"/>
          <w:rFonts w:hint="eastAsia" w:cs="宋体"/>
          <w:szCs w:val="28"/>
          <w:lang w:eastAsia="zh-TW"/>
        </w:rPr>
        <w:footnoteReference w:id="43"/>
      </w:r>
      <w:r>
        <w:rPr>
          <w:rFonts w:hint="eastAsia"/>
          <w:lang w:eastAsia="zh-TW"/>
        </w:rPr>
        <w:t>王中江</w:t>
      </w:r>
      <w:r>
        <w:rPr>
          <w:rStyle w:val="36"/>
          <w:rFonts w:hint="eastAsia" w:cs="宋体"/>
          <w:szCs w:val="28"/>
          <w:lang w:eastAsia="zh-TW"/>
        </w:rPr>
        <w:footnoteReference w:id="44"/>
      </w:r>
      <w:r>
        <w:rPr>
          <w:rFonts w:hint="eastAsia"/>
          <w:lang w:eastAsia="zh-TW"/>
        </w:rPr>
        <w:t>已指出，與</w:t>
      </w:r>
      <w:r>
        <w:rPr>
          <w:rFonts w:hint="eastAsia"/>
        </w:rPr>
        <w:t>“一”</w:t>
      </w:r>
      <w:r>
        <w:rPr>
          <w:rFonts w:hint="eastAsia"/>
          <w:lang w:eastAsia="zh-TW"/>
        </w:rPr>
        <w:t>有關的政治思想涉及統治者的</w:t>
      </w:r>
      <w:r>
        <w:rPr>
          <w:rFonts w:hint="eastAsia"/>
        </w:rPr>
        <w:t>“一”</w:t>
      </w:r>
      <w:r>
        <w:rPr>
          <w:rFonts w:hint="eastAsia"/>
          <w:lang w:eastAsia="zh-TW"/>
        </w:rPr>
        <w:t>與百姓的</w:t>
      </w:r>
      <w:r>
        <w:rPr>
          <w:rFonts w:hint="eastAsia"/>
        </w:rPr>
        <w:t>“多”</w:t>
      </w:r>
      <w:r>
        <w:rPr>
          <w:rFonts w:hint="eastAsia"/>
          <w:lang w:eastAsia="zh-TW"/>
        </w:rPr>
        <w:t>相對應的模式，包含了與統治者政治權威相關的要素。而從《凡物流形》向統治者權力傾斜的思想傾向來看，與通過“道”=“無”導出的“無爲”思想相比，以“一”爲根據的“無爲”思想於統治者而言似乎更具有吸引力。《凡物流形》強調“一”可以通過五感進行感知的特徵，很可能也是考慮到與無法通過感官認知的“無”相比，“一”更容易把握亦更容易爲統治者所接受。</w:t>
      </w:r>
    </w:p>
    <w:p>
      <w:pPr>
        <w:pStyle w:val="41"/>
        <w:ind w:firstLine="560"/>
        <w:rPr>
          <w:lang w:eastAsia="zh-TW"/>
        </w:rPr>
      </w:pPr>
    </w:p>
    <w:p>
      <w:pPr>
        <w:pStyle w:val="41"/>
        <w:ind w:firstLine="560"/>
        <w:rPr>
          <w:lang w:eastAsia="zh-TW"/>
        </w:rPr>
      </w:pPr>
      <w:r>
        <w:rPr>
          <w:rFonts w:hint="eastAsia"/>
          <w:lang w:eastAsia="zh-TW"/>
        </w:rPr>
        <w:t>從思想史發展的角度來看，類似《凡物流形》這類以</w:t>
      </w:r>
      <w:r>
        <w:rPr>
          <w:rFonts w:hint="eastAsia"/>
        </w:rPr>
        <w:t>“一”</w:t>
      </w:r>
      <w:r>
        <w:rPr>
          <w:rFonts w:hint="eastAsia"/>
          <w:lang w:eastAsia="zh-TW"/>
        </w:rPr>
        <w:t>言</w:t>
      </w:r>
      <w:r>
        <w:rPr>
          <w:rFonts w:hint="eastAsia"/>
        </w:rPr>
        <w:t>“道”</w:t>
      </w:r>
      <w:r>
        <w:rPr>
          <w:rFonts w:hint="eastAsia"/>
          <w:lang w:eastAsia="zh-TW"/>
        </w:rPr>
        <w:t>的</w:t>
      </w:r>
      <w:r>
        <w:rPr>
          <w:rFonts w:hint="eastAsia"/>
        </w:rPr>
        <w:t>“無爲”</w:t>
      </w:r>
      <w:r>
        <w:rPr>
          <w:rFonts w:hint="eastAsia"/>
          <w:lang w:eastAsia="zh-TW"/>
        </w:rPr>
        <w:t>的思想，應當是主張</w:t>
      </w:r>
      <w:r>
        <w:rPr>
          <w:rFonts w:hint="eastAsia"/>
        </w:rPr>
        <w:t>“無爲”</w:t>
      </w:r>
      <w:r>
        <w:rPr>
          <w:rFonts w:hint="eastAsia"/>
          <w:lang w:eastAsia="zh-TW"/>
        </w:rPr>
        <w:t>的思想家爲回應現實的政治狀況對</w:t>
      </w:r>
      <w:r>
        <w:rPr>
          <w:rFonts w:hint="eastAsia"/>
        </w:rPr>
        <w:t>“無爲”</w:t>
      </w:r>
      <w:r>
        <w:rPr>
          <w:rFonts w:hint="eastAsia"/>
          <w:lang w:eastAsia="zh-TW"/>
        </w:rPr>
        <w:t>思想作出的調整。從發生的順序來看，這種思想當爲“道”=“無”的“無爲”政治思想的發展形式。此外，從《凡物流形》有意排除“虛”、“無”相關的要素，通過“心一”的工夫導出“靜”的“無爲”，並援用形而上學的“一”的思想對相關的政治利益進行主張的內容來看，其實際已提供了一幅較爲完整的“無爲”政治思想的理論形態。可以認爲《凡物流形》的思想是“無爲”政治思想發展史上的重要一環。</w:t>
      </w:r>
    </w:p>
    <w:p>
      <w:pPr>
        <w:pStyle w:val="41"/>
        <w:ind w:firstLine="560"/>
        <w:rPr>
          <w:lang w:eastAsia="zh-TW"/>
        </w:rPr>
      </w:pPr>
    </w:p>
    <w:p>
      <w:pPr>
        <w:pStyle w:val="43"/>
        <w:rPr>
          <w:sz w:val="28"/>
          <w:szCs w:val="28"/>
          <w:lang w:eastAsia="zh-TW"/>
        </w:rPr>
      </w:pPr>
      <w:r>
        <w:rPr>
          <w:rFonts w:hint="eastAsia"/>
          <w:sz w:val="28"/>
          <w:szCs w:val="28"/>
          <w:lang w:eastAsia="zh-TW"/>
        </w:rPr>
        <w:t>尾聲</w:t>
      </w:r>
    </w:p>
    <w:p>
      <w:pPr>
        <w:pStyle w:val="41"/>
        <w:ind w:firstLine="560"/>
        <w:rPr>
          <w:lang w:eastAsia="zh-TW"/>
        </w:rPr>
      </w:pPr>
    </w:p>
    <w:p>
      <w:pPr>
        <w:pStyle w:val="41"/>
        <w:ind w:firstLine="560"/>
        <w:rPr>
          <w:lang w:eastAsia="zh-TW"/>
        </w:rPr>
      </w:pPr>
      <w:r>
        <w:rPr>
          <w:rFonts w:hint="eastAsia"/>
          <w:lang w:eastAsia="zh-TW"/>
        </w:rPr>
        <w:t>傳世本《老子》第四十二章有關生成論的</w:t>
      </w:r>
      <w:r>
        <w:rPr>
          <w:rFonts w:hint="eastAsia"/>
        </w:rPr>
        <w:t>“道生一、一生二、二生三、三生萬物”</w:t>
      </w:r>
      <w:r>
        <w:rPr>
          <w:rFonts w:hint="eastAsia"/>
          <w:lang w:eastAsia="zh-TW"/>
        </w:rPr>
        <w:t>的部分不見於郭店《老子》，且郭店《老子》中不存在與</w:t>
      </w:r>
      <w:r>
        <w:rPr>
          <w:rFonts w:hint="eastAsia"/>
        </w:rPr>
        <w:t>“一”</w:t>
      </w:r>
      <w:r>
        <w:rPr>
          <w:rFonts w:hint="eastAsia"/>
          <w:lang w:eastAsia="zh-TW"/>
        </w:rPr>
        <w:t>對應的</w:t>
      </w:r>
      <w:r>
        <w:rPr>
          <w:rFonts w:hint="eastAsia"/>
        </w:rPr>
        <w:t>“道”</w:t>
      </w:r>
      <w:r>
        <w:rPr>
          <w:rFonts w:hint="eastAsia"/>
          <w:lang w:eastAsia="zh-TW"/>
        </w:rPr>
        <w:t>的思想是爲周知的事實。</w:t>
      </w:r>
      <w:r>
        <w:rPr>
          <w:rStyle w:val="36"/>
          <w:rFonts w:hint="eastAsia" w:cs="宋体"/>
          <w:szCs w:val="28"/>
          <w:lang w:eastAsia="zh-TW" w:bidi="ar"/>
        </w:rPr>
        <w:footnoteReference w:id="45"/>
      </w:r>
    </w:p>
    <w:p>
      <w:pPr>
        <w:pStyle w:val="41"/>
        <w:ind w:firstLine="560"/>
        <w:rPr>
          <w:lang w:eastAsia="zh-TW"/>
        </w:rPr>
      </w:pPr>
    </w:p>
    <w:p>
      <w:pPr>
        <w:pStyle w:val="41"/>
        <w:ind w:firstLine="560"/>
        <w:rPr>
          <w:lang w:eastAsia="zh-TW"/>
        </w:rPr>
      </w:pPr>
      <w:r>
        <w:rPr>
          <w:rFonts w:hint="eastAsia"/>
          <w:lang w:eastAsia="zh-TW"/>
        </w:rPr>
        <w:t>郭店《老子》是其時僅有的《老子》文本亦或是五千言《老子》的摘抄本的問題，至今仍爲《老子》研究爭論的一大焦點。從郭店《老子》丙本與《太一生水》合抄來看，抄寫者對生成論當有一定的興趣，很難想象其刻意將傳世本第四十二章對應的內容排除在外。即是說，該抄寫者所見的《老子》文本很可能並沒有包含與傳世本第四十二章相對應的內容。</w:t>
      </w:r>
    </w:p>
    <w:p>
      <w:pPr>
        <w:pStyle w:val="41"/>
        <w:ind w:firstLine="560"/>
        <w:rPr>
          <w:lang w:eastAsia="zh-TW"/>
        </w:rPr>
      </w:pPr>
    </w:p>
    <w:p>
      <w:pPr>
        <w:pStyle w:val="41"/>
        <w:ind w:firstLine="560"/>
        <w:rPr>
          <w:lang w:eastAsia="zh-TW"/>
        </w:rPr>
      </w:pPr>
      <w:r>
        <w:rPr>
          <w:rFonts w:hint="eastAsia"/>
          <w:lang w:eastAsia="zh-TW"/>
        </w:rPr>
        <w:t>除數字的個數不同之外，傳世本《老子》第四十二章相較於《凡物流形》的</w:t>
      </w:r>
      <w:r>
        <w:rPr>
          <w:rFonts w:hint="eastAsia"/>
        </w:rPr>
        <w:t>“一”</w:t>
      </w:r>
      <w:r>
        <w:rPr>
          <w:rFonts w:hint="eastAsia"/>
          <w:lang w:eastAsia="zh-TW"/>
        </w:rPr>
        <w:t>的生成論，最顯著的差異在於其將</w:t>
      </w:r>
      <w:r>
        <w:rPr>
          <w:rFonts w:hint="eastAsia"/>
        </w:rPr>
        <w:t>“道”</w:t>
      </w:r>
      <w:r>
        <w:rPr>
          <w:rFonts w:hint="eastAsia"/>
          <w:lang w:eastAsia="zh-TW"/>
        </w:rPr>
        <w:t>置於</w:t>
      </w:r>
      <w:r>
        <w:rPr>
          <w:rFonts w:hint="eastAsia"/>
        </w:rPr>
        <w:t>“一”</w:t>
      </w:r>
      <w:r>
        <w:rPr>
          <w:rFonts w:hint="eastAsia"/>
          <w:lang w:eastAsia="zh-TW"/>
        </w:rPr>
        <w:t>之前，即其生成的起點並非</w:t>
      </w:r>
      <w:r>
        <w:rPr>
          <w:rFonts w:hint="eastAsia"/>
        </w:rPr>
        <w:t>“一”</w:t>
      </w:r>
      <w:r>
        <w:rPr>
          <w:rFonts w:hint="eastAsia"/>
          <w:lang w:eastAsia="zh-TW"/>
        </w:rPr>
        <w:t>。對這一形式最可能的理解爲，“一”以下與“有”對應，而“道”與“無”對應，也就是說其蘊含的實際上是從“無”到“有”的生成論模式。由於《凡物流形》刻意排除了與“無”相關的要素，看起來《凡物流形》的生成論似乎是在傳世本《老子》第四十二章基礎上刪除了與“無”相關的要素後成立的。但由於郭店《老子》及與其合抄的《太一生水》中並不見以“道”爲起點的數字式生成論，“道生一”的生成論更有可能是在以“一”爲起點的生成論成立之後，添加“道”的成分而成立的。</w:t>
      </w:r>
      <w:r>
        <w:rPr>
          <w:rStyle w:val="36"/>
          <w:rFonts w:hint="eastAsia" w:cs="宋体"/>
          <w:szCs w:val="28"/>
          <w:lang w:eastAsia="zh-TW" w:bidi="ar"/>
        </w:rPr>
        <w:footnoteReference w:id="46"/>
      </w:r>
      <w:r>
        <w:rPr>
          <w:rFonts w:hint="eastAsia"/>
          <w:lang w:eastAsia="zh-TW"/>
        </w:rPr>
        <w:t>也就是說，傳世本《老子》的形成並不排除受到過類似《凡物流形》以</w:t>
      </w:r>
      <w:r>
        <w:rPr>
          <w:rFonts w:hint="eastAsia"/>
        </w:rPr>
        <w:t>“一”</w:t>
      </w:r>
      <w:r>
        <w:rPr>
          <w:rFonts w:hint="eastAsia"/>
          <w:lang w:eastAsia="zh-TW"/>
        </w:rPr>
        <w:t>爲起點的生成論影響的可能。前文已指出，《凡物流形》的“無爲”的思想是在“道”=“無”的“無爲”思想的基礎上調整發展而來的。如此一來，有關《凡物流形》與《老子》的思想史關係，還需要在明確郭店《老子》與傳世本《老子》之間關係的基礎上作更深入的探討。</w:t>
      </w:r>
    </w:p>
    <w:p>
      <w:pPr>
        <w:pStyle w:val="41"/>
        <w:ind w:firstLine="560"/>
        <w:rPr>
          <w:lang w:eastAsia="zh-TW"/>
        </w:rPr>
      </w:pPr>
    </w:p>
    <w:p>
      <w:pPr>
        <w:pStyle w:val="41"/>
        <w:ind w:firstLine="560"/>
        <w:rPr>
          <w:lang w:eastAsia="zh-TW"/>
        </w:rPr>
      </w:pPr>
      <w:r>
        <w:rPr>
          <w:rFonts w:hint="eastAsia"/>
          <w:lang w:eastAsia="zh-TW"/>
        </w:rPr>
        <w:t>此外，《凡物流形》中存在的各式各樣的</w:t>
      </w:r>
      <w:r>
        <w:rPr>
          <w:rFonts w:hint="eastAsia"/>
        </w:rPr>
        <w:t>“一”</w:t>
      </w:r>
      <w:r>
        <w:rPr>
          <w:rFonts w:hint="eastAsia"/>
          <w:lang w:eastAsia="zh-TW"/>
        </w:rPr>
        <w:t>的思想，如作爲萬物生成起點、萬物運行依據的</w:t>
      </w:r>
      <w:r>
        <w:rPr>
          <w:rFonts w:hint="eastAsia"/>
        </w:rPr>
        <w:t>“一”</w:t>
      </w:r>
      <w:r>
        <w:rPr>
          <w:rFonts w:hint="eastAsia"/>
          <w:lang w:eastAsia="zh-TW"/>
        </w:rPr>
        <w:t>、涉及萬物循環往復以至永續根據的同一性的</w:t>
      </w:r>
      <w:r>
        <w:rPr>
          <w:rFonts w:hint="eastAsia"/>
        </w:rPr>
        <w:t>“一”</w:t>
      </w:r>
      <w:r>
        <w:rPr>
          <w:rFonts w:hint="eastAsia"/>
          <w:lang w:eastAsia="zh-TW"/>
        </w:rPr>
        <w:t>以及</w:t>
      </w:r>
      <w:r>
        <w:rPr>
          <w:rFonts w:hint="eastAsia"/>
        </w:rPr>
        <w:t>“心一”</w:t>
      </w:r>
      <w:r>
        <w:rPr>
          <w:rFonts w:hint="eastAsia"/>
          <w:lang w:eastAsia="zh-TW"/>
        </w:rPr>
        <w:t>的工夫論中出現的專一的</w:t>
      </w:r>
      <w:r>
        <w:rPr>
          <w:rFonts w:hint="eastAsia"/>
        </w:rPr>
        <w:t>“一”</w:t>
      </w:r>
      <w:r>
        <w:rPr>
          <w:rFonts w:hint="eastAsia"/>
          <w:lang w:eastAsia="zh-TW"/>
        </w:rPr>
        <w:t>等。這些原本含義不盡相同的“一”的思想，在《凡物流形》中均被統攝在了同一種“一”的概念之下。其文本呈現出一種匯聚各種“一”的思想的特徵。前文已指出，作爲萬物生成起點的“一”與楚簡《太一生水》相關。至於“心一”的工夫論，學者已指出了其與《管子》內業、心術下篇思想的關係。</w:t>
      </w:r>
      <w:r>
        <w:rPr>
          <w:rStyle w:val="36"/>
          <w:rFonts w:hint="eastAsia" w:cs="宋体"/>
          <w:szCs w:val="28"/>
          <w:lang w:eastAsia="zh-TW" w:bidi="ar"/>
        </w:rPr>
        <w:footnoteReference w:id="47"/>
      </w:r>
      <w:r>
        <w:rPr>
          <w:rFonts w:hint="eastAsia"/>
          <w:lang w:eastAsia="zh-TW"/>
        </w:rPr>
        <w:t>此外，楚簡《恆先》</w:t>
      </w:r>
      <w:r>
        <w:rPr>
          <w:rFonts w:hint="eastAsia"/>
        </w:rPr>
        <w:t>“天道既載，唯一以猶一，唯復以猶復”</w:t>
      </w:r>
      <w:r>
        <w:rPr>
          <w:rFonts w:hint="eastAsia"/>
          <w:lang w:eastAsia="zh-TW"/>
        </w:rPr>
        <w:t>一文中，似乎涉及了《凡物流形》中與循環往復的</w:t>
      </w:r>
      <w:r>
        <w:rPr>
          <w:rFonts w:hint="eastAsia"/>
        </w:rPr>
        <w:t>“復”</w:t>
      </w:r>
      <w:r>
        <w:rPr>
          <w:rFonts w:hint="eastAsia"/>
          <w:lang w:eastAsia="zh-TW"/>
        </w:rPr>
        <w:t>相關的</w:t>
      </w:r>
      <w:r>
        <w:rPr>
          <w:rFonts w:hint="eastAsia"/>
        </w:rPr>
        <w:t>“一”</w:t>
      </w:r>
      <w:r>
        <w:rPr>
          <w:rFonts w:hint="eastAsia"/>
          <w:lang w:eastAsia="zh-TW"/>
        </w:rPr>
        <w:t>的思想。這些文獻與《凡物流形》的“一”的思想的思想史關係，同樣是今後研究中不可回避的問題。</w:t>
      </w:r>
    </w:p>
    <w:p>
      <w:pPr>
        <w:pStyle w:val="41"/>
        <w:ind w:firstLine="560"/>
        <w:rPr>
          <w:lang w:eastAsia="zh-TW"/>
        </w:rPr>
      </w:pPr>
    </w:p>
    <w:p>
      <w:pPr>
        <w:pStyle w:val="41"/>
        <w:ind w:firstLine="560"/>
        <w:rPr>
          <w:lang w:eastAsia="zh-TW"/>
        </w:rPr>
      </w:pPr>
    </w:p>
    <w:p>
      <w:pPr>
        <w:pStyle w:val="41"/>
        <w:ind w:firstLine="560"/>
      </w:pPr>
      <w:r>
        <w:rPr>
          <w:rFonts w:hint="eastAsia"/>
          <w:lang w:eastAsia="zh-TW"/>
        </w:rPr>
        <w:t>（本文原以日文發表於日本中國出土資料學會編：《中國出土資料研究》第24號（2020年7月），頁112-130。原標題爲〈『凡物流形』</w:t>
      </w:r>
      <w:r>
        <w:rPr>
          <w:rFonts w:hint="eastAsia"/>
        </w:rPr>
        <w:t>における</w:t>
      </w:r>
      <w:r>
        <w:rPr>
          <w:rFonts w:hint="eastAsia"/>
          <w:lang w:eastAsia="zh-TW"/>
        </w:rPr>
        <w:t>“一”</w:t>
      </w:r>
      <w:r>
        <w:rPr>
          <w:rFonts w:hint="eastAsia"/>
        </w:rPr>
        <w:t>の</w:t>
      </w:r>
      <w:r>
        <w:rPr>
          <w:rFonts w:hint="eastAsia"/>
          <w:lang w:eastAsia="zh-TW"/>
        </w:rPr>
        <w:t>思想―“無爲”</w:t>
      </w:r>
      <w:r>
        <w:rPr>
          <w:rFonts w:hint="eastAsia"/>
        </w:rPr>
        <w:t>の</w:t>
      </w:r>
      <w:r>
        <w:rPr>
          <w:rFonts w:hint="eastAsia"/>
          <w:lang w:eastAsia="zh-TW"/>
        </w:rPr>
        <w:t>根據</w:t>
      </w:r>
      <w:r>
        <w:rPr>
          <w:rFonts w:hint="eastAsia"/>
        </w:rPr>
        <w:t>として</w:t>
      </w:r>
      <w:r>
        <w:rPr>
          <w:rFonts w:hint="eastAsia"/>
          <w:lang w:eastAsia="zh-TW"/>
        </w:rPr>
        <w:t>―〉。本次翻譯成中文，作者對部分內容進行了修改。）</w:t>
      </w:r>
    </w:p>
    <w:p>
      <w:pPr>
        <w:pStyle w:val="41"/>
        <w:ind w:firstLine="560"/>
      </w:pPr>
    </w:p>
    <w:p>
      <w:pPr>
        <w:pStyle w:val="41"/>
        <w:ind w:firstLine="560"/>
        <w:rPr>
          <w:lang w:eastAsia="zh-TW"/>
        </w:rPr>
      </w:pPr>
      <w:bookmarkStart w:id="1" w:name="OLE_LINK4"/>
      <w:r>
        <w:rPr>
          <w:rFonts w:hint="eastAsia"/>
          <w:lang w:eastAsia="zh-TW"/>
        </w:rPr>
        <w:t xml:space="preserve">作者：熊奕淞 </w:t>
      </w:r>
    </w:p>
    <w:p>
      <w:pPr>
        <w:pStyle w:val="41"/>
        <w:ind w:firstLine="560"/>
        <w:rPr>
          <w:lang w:eastAsia="zh-TW"/>
        </w:rPr>
      </w:pPr>
      <w:r>
        <w:rPr>
          <w:rFonts w:hint="eastAsia"/>
          <w:lang w:eastAsia="zh-TW"/>
        </w:rPr>
        <w:t>日本廣島大學文學博士（研究領域：先秦兩漢思想史）</w:t>
      </w:r>
    </w:p>
    <w:p>
      <w:pPr>
        <w:pStyle w:val="41"/>
        <w:ind w:firstLine="560"/>
        <w:rPr>
          <w:lang w:eastAsia="zh-TW"/>
        </w:rPr>
      </w:pPr>
      <w:r>
        <w:rPr>
          <w:rFonts w:hint="eastAsia"/>
        </w:rPr>
        <w:t>電子郵件</w:t>
      </w:r>
      <w:r>
        <w:rPr>
          <w:rFonts w:hint="eastAsia"/>
          <w:lang w:eastAsia="zh-TW"/>
        </w:rPr>
        <w:t>：yuuekishou@163.com。</w:t>
      </w:r>
    </w:p>
    <w:bookmarkEnd w:id="1"/>
    <w:p>
      <w:pPr>
        <w:pStyle w:val="41"/>
        <w:ind w:firstLine="560"/>
      </w:pPr>
    </w:p>
    <w:sectPr>
      <w:headerReference r:id="rId4" w:type="default"/>
      <w:footerReference r:id="rId5" w:type="default"/>
      <w:footerReference r:id="rId6" w:type="even"/>
      <w:footnotePr>
        <w:numFmt w:val="decimal"/>
      </w:footnotePr>
      <w:endnotePr>
        <w:numFmt w:val="decimal"/>
      </w:endnotePr>
      <w:pgSz w:w="11906" w:h="16838"/>
      <w:pgMar w:top="1440" w:right="1800" w:bottom="1440" w:left="180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paP">
    <w:panose1 w:val="02000500070000020004"/>
    <w:charset w:val="86"/>
    <w:family w:val="auto"/>
    <w:pitch w:val="default"/>
    <w:sig w:usb0="E00007FF" w:usb1="5200A1FF" w:usb2="02000009" w:usb3="00000002" w:csb0="201E019F" w:csb1="1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宋体-方正超大字符集">
    <w:panose1 w:val="03000509000000000000"/>
    <w:charset w:val="86"/>
    <w:family w:val="script"/>
    <w:pitch w:val="default"/>
    <w:sig w:usb0="00000001" w:usb1="080E0000" w:usb2="00000000" w:usb3="00000000" w:csb0="00040000" w:csb1="00000000"/>
  </w:font>
  <w:font w:name="方正书宋简体">
    <w:altName w:val="微软雅黑"/>
    <w:panose1 w:val="00000000000000000000"/>
    <w:charset w:val="86"/>
    <w:family w:val="script"/>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DFKai-SB">
    <w:altName w:val="Microsoft JhengHei Light"/>
    <w:panose1 w:val="00000000000000000000"/>
    <w:charset w:val="88"/>
    <w:family w:val="script"/>
    <w:pitch w:val="default"/>
    <w:sig w:usb0="00000000" w:usb1="00000000" w:usb2="00000016" w:usb3="00000000" w:csb0="00100001" w:csb1="00000000"/>
  </w:font>
  <w:font w:name="TimesNewRomanPS-BoldMT">
    <w:altName w:val="微软雅黑"/>
    <w:panose1 w:val="00000000000000000000"/>
    <w:charset w:val="00"/>
    <w:family w:val="roman"/>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0008009F" w:csb1="00000000"/>
  </w:font>
  <w:font w:name="New Gulim">
    <w:altName w:val="Cambria"/>
    <w:panose1 w:val="00000000000000000000"/>
    <w:charset w:val="00"/>
    <w:family w:val="roman"/>
    <w:pitch w:val="default"/>
    <w:sig w:usb0="00000000" w:usb1="00000000" w:usb2="00000000" w:usb3="00000000" w:csb0="00000000" w:csb1="00000000"/>
  </w:font>
  <w:font w:name="控呇湮佽恅苤蚼">
    <w:altName w:val="Microsoft JhengHei"/>
    <w:panose1 w:val="00000000000000000000"/>
    <w:charset w:val="88"/>
    <w:family w:val="modern"/>
    <w:pitch w:val="default"/>
    <w:sig w:usb0="00000000" w:usb1="00000000" w:usb2="00000010" w:usb3="00000000" w:csb0="00100000" w:csb1="00000000"/>
  </w:font>
  <w:font w:name="Microsoft YaHei UI">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Liberation Serif;Times New Roma">
    <w:altName w:val="Times New Roman"/>
    <w:panose1 w:val="00000000000000000000"/>
    <w:charset w:val="00"/>
    <w:family w:val="roman"/>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Mangal">
    <w:altName w:val="AYJGW(乔老师甲骨字替换)"/>
    <w:panose1 w:val="00000400000000000000"/>
    <w:charset w:val="00"/>
    <w:family w:val="roman"/>
    <w:pitch w:val="default"/>
    <w:sig w:usb0="00000000" w:usb1="00000000" w:usb2="00000000" w:usb3="00000000" w:csb0="00000001" w:csb1="00000000"/>
  </w:font>
  <w:font w:name="方正仿宋简体">
    <w:altName w:val="微软雅黑"/>
    <w:panose1 w:val="00000000000000000000"/>
    <w:charset w:val="86"/>
    <w:family w:val="auto"/>
    <w:pitch w:val="default"/>
    <w:sig w:usb0="00000000" w:usb1="00000000" w:usb2="00000010" w:usb3="00000000" w:csb0="00040000" w:csb1="00000000"/>
  </w:font>
  <w:font w:name="方正楷体简体">
    <w:altName w:val="微软雅黑"/>
    <w:panose1 w:val="00000000000000000000"/>
    <w:charset w:val="86"/>
    <w:family w:val="auto"/>
    <w:pitch w:val="default"/>
    <w:sig w:usb0="00000000" w:usb1="00000000" w:usb2="00000010" w:usb3="00000000" w:csb0="00040000" w:csb1="00000000"/>
  </w:font>
  <w:font w:name="方正黑体简体">
    <w:altName w:val="微软雅黑"/>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准圆简体">
    <w:altName w:val="微软雅黑"/>
    <w:panose1 w:val="00000000000000000000"/>
    <w:charset w:val="86"/>
    <w:family w:val="auto"/>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 w:name="Microsoft JhengHei U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algun Gothic">
    <w:panose1 w:val="020B0503020000020004"/>
    <w:charset w:val="81"/>
    <w:family w:val="auto"/>
    <w:pitch w:val="default"/>
    <w:sig w:usb0="9000002F" w:usb1="29D77CFB" w:usb2="00000012" w:usb3="00000000" w:csb0="00080001" w:csb1="00000000"/>
  </w:font>
  <w:font w:name="Microsoft JhengHei">
    <w:panose1 w:val="020B0604030504040204"/>
    <w:charset w:val="88"/>
    <w:family w:val="auto"/>
    <w:pitch w:val="default"/>
    <w:sig w:usb0="000002A7" w:usb1="28CF4400" w:usb2="00000016" w:usb3="00000000" w:csb0="00100009" w:csb1="00000000"/>
  </w:font>
  <w:font w:name="AYJGW(乔老师甲骨字替换)">
    <w:panose1 w:val="02000500000000000000"/>
    <w:charset w:val="00"/>
    <w:family w:val="auto"/>
    <w:pitch w:val="default"/>
    <w:sig w:usb0="00000003" w:usb1="10000000" w:usb2="00000000" w:usb3="00000000" w:csb0="20000001" w:csb1="00000000"/>
  </w:font>
  <w:font w:name="Songti SC">
    <w:altName w:val="宋体"/>
    <w:panose1 w:val="00000000000000000000"/>
    <w:charset w:val="86"/>
    <w:family w:val="auto"/>
    <w:pitch w:val="variable"/>
    <w:sig w:usb0="00000287" w:usb1="080F0000" w:usb2="00000010" w:usb3="00000000" w:csb0="0004009F" w:csb1="00000000"/>
  </w:font>
  <w:font w:name="Helvetica">
    <w:altName w:val="Arial"/>
    <w:panose1 w:val="020B0604020202020204"/>
    <w:charset w:val="00"/>
    <w:family w:val="auto"/>
    <w:pitch w:val="variable"/>
    <w:sig w:usb0="E00002FF" w:usb1="5000785B" w:usb2="00000000" w:usb3="00000000" w:csb0="0000019F" w:csb1="00000000"/>
  </w:font>
  <w:font w:name="Cambria Math">
    <w:panose1 w:val="02040503050406030204"/>
    <w:charset w:val="00"/>
    <w:family w:val="auto"/>
    <w:pitch w:val="variable"/>
    <w:sig w:usb0="E00006FF" w:usb1="420024FF" w:usb2="02000000" w:usb3="00000000" w:csb0="2000019F" w:csb1="00000000"/>
  </w:font>
  <w:font w:name="PingFang SC">
    <w:altName w:val="宋体"/>
    <w:panose1 w:val="00000000000000000000"/>
    <w:charset w:val="86"/>
    <w:family w:val="auto"/>
    <w:pitch w:val="variable"/>
    <w:sig w:usb0="A00002FF" w:usb1="7ACFFDFB" w:usb2="00000017" w:usb3="00000000" w:csb0="00040001" w:csb1="00000000"/>
  </w:font>
  <w:font w:name="@微软雅黑">
    <w:panose1 w:val="020B0503020204020204"/>
    <w:charset w:val="86"/>
    <w:family w:val="auto"/>
    <w:pitch w:val="variable"/>
    <w:sig w:usb0="80000287" w:usb1="2ACF3C50" w:usb2="00000016" w:usb3="00000000" w:csb0="0004001F" w:csb1="00000000"/>
  </w:font>
  <w:font w:name="@宋体">
    <w:panose1 w:val="02010600030101010101"/>
    <w:charset w:val="86"/>
    <w:family w:val="auto"/>
    <w:pitch w:val="variable"/>
    <w:sig w:usb0="00000003" w:usb1="288F0000" w:usb2="00000006" w:usb3="00000000" w:csb0="00040001" w:csb1="00000000"/>
  </w:font>
  <w:font w:name="@等线">
    <w:panose1 w:val="02010600030101010101"/>
    <w:charset w:val="86"/>
    <w:family w:val="auto"/>
    <w:pitch w:val="variable"/>
    <w:sig w:usb0="A00002BF" w:usb1="38CF7CFA" w:usb2="00000016" w:usb3="00000000" w:csb0="0004000F" w:csb1="00000000"/>
  </w:font>
  <w:font w:name="@MingLiU">
    <w:altName w:val="PMingLiU-ExtB"/>
    <w:panose1 w:val="02010609000101010101"/>
    <w:charset w:val="88"/>
    <w:family w:val="auto"/>
    <w:pitch w:val="fixed"/>
    <w:sig w:usb0="A00002FF" w:usb1="28CFFCFA" w:usb2="00000016" w:usb3="00000000" w:csb0="00100001" w:csb1="00000000"/>
  </w:font>
  <w:font w:name="@PingFang SC">
    <w:altName w:val="宋体"/>
    <w:panose1 w:val="00000000000000000000"/>
    <w:charset w:val="86"/>
    <w:family w:val="auto"/>
    <w:pitch w:val="variable"/>
    <w:sig w:usb0="A00002FF" w:usb1="7ACFFDFB" w:usb2="00000017" w:usb3="00000000" w:csb0="00040001" w:csb1="00000000"/>
  </w:font>
  <w:font w:name="@Songti SC">
    <w:altName w:val="宋体"/>
    <w:panose1 w:val="00000000000000000000"/>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sz w:val="18"/>
        <w:szCs w:val="18"/>
      </w:rPr>
    </w:pPr>
    <w:r>
      <w:rPr>
        <w:rFonts w:hint="eastAsia"/>
        <w:sz w:val="18"/>
        <w:szCs w:val="18"/>
      </w:rPr>
      <w:t>收稿日期：</w:t>
    </w:r>
    <w:r>
      <w:rPr>
        <w:sz w:val="18"/>
        <w:szCs w:val="18"/>
      </w:rPr>
      <w:t>20</w:t>
    </w:r>
    <w:r>
      <w:rPr>
        <w:rFonts w:hint="eastAsia"/>
        <w:sz w:val="18"/>
        <w:szCs w:val="18"/>
      </w:rPr>
      <w:t>24年05月</w:t>
    </w:r>
    <w:r>
      <w:rPr>
        <w:sz w:val="18"/>
        <w:szCs w:val="18"/>
      </w:rPr>
      <w:t>19</w:t>
    </w:r>
    <w:r>
      <w:rPr>
        <w:rFonts w:hint="eastAsia"/>
        <w:sz w:val="18"/>
        <w:szCs w:val="18"/>
      </w:rPr>
      <w:t>日</w:t>
    </w:r>
    <w:r>
      <w:rPr>
        <w:sz w:val="18"/>
        <w:szCs w:val="18"/>
      </w:rPr>
      <w:tab/>
    </w:r>
    <w:r>
      <w:rPr>
        <w:rFonts w:hint="eastAsia"/>
        <w:sz w:val="18"/>
        <w:szCs w:val="18"/>
      </w:rPr>
      <w:t>发布日期：</w:t>
    </w:r>
    <w:r>
      <w:rPr>
        <w:sz w:val="18"/>
        <w:szCs w:val="18"/>
      </w:rPr>
      <w:t>20</w:t>
    </w:r>
    <w:r>
      <w:rPr>
        <w:rFonts w:hint="eastAsia"/>
        <w:sz w:val="18"/>
        <w:szCs w:val="18"/>
      </w:rPr>
      <w:t>24年05月</w:t>
    </w:r>
    <w:r>
      <w:rPr>
        <w:sz w:val="18"/>
        <w:szCs w:val="18"/>
      </w:rPr>
      <w:t>2</w:t>
    </w:r>
    <w:r>
      <w:rPr>
        <w:rFonts w:hint="eastAsia"/>
        <w:sz w:val="18"/>
        <w:szCs w:val="18"/>
      </w:rPr>
      <w:t>7日</w:t>
    </w:r>
    <w:r>
      <w:rPr>
        <w:sz w:val="18"/>
        <w:szCs w:val="18"/>
      </w:rPr>
      <w:tab/>
    </w:r>
    <w:r>
      <w:rPr>
        <w:rFonts w:hint="eastAsia"/>
        <w:sz w:val="18"/>
        <w:szCs w:val="18"/>
      </w:rPr>
      <w:t>页码：</w:t>
    </w: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Pr>
        <w:sz w:val="18"/>
        <w:szCs w:val="18"/>
      </w:rPr>
      <w:t>2</w:t>
    </w:r>
    <w:r>
      <w:rPr>
        <w:sz w:val="18"/>
        <w:szCs w:val="18"/>
      </w:rP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1"/>
      </w:rPr>
    </w:pPr>
    <w:r>
      <w:rPr>
        <w:rStyle w:val="31"/>
      </w:rPr>
      <w:fldChar w:fldCharType="begin"/>
    </w:r>
    <w:r>
      <w:rPr>
        <w:rStyle w:val="31"/>
      </w:rPr>
      <w:instrText xml:space="preserve">PAGE  </w:instrText>
    </w:r>
    <w:r>
      <w:rPr>
        <w:rStyle w:val="31"/>
      </w:rPr>
      <w:fldChar w:fldCharType="end"/>
    </w:r>
  </w:p>
  <w:p>
    <w:pPr>
      <w:pStyle w:val="19"/>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96">
    <w:p>
      <w:r>
        <w:separator/>
      </w:r>
    </w:p>
  </w:footnote>
  <w:footnote w:type="continuationSeparator" w:id="97">
    <w:p>
      <w:r>
        <w:continuationSeparator/>
      </w:r>
    </w:p>
  </w:footnote>
  <w:footnote w:id="0">
    <w:p>
      <w:r>
        <w:rPr>
          <w:rFonts w:hint="eastAsia"/>
        </w:rPr>
        <w:footnoteRef/>
      </w:r>
      <w:r>
        <w:rPr>
          <w:rFonts w:hint="eastAsia"/>
          <w:lang w:eastAsia="zh-TW"/>
        </w:rPr>
        <w:t xml:space="preserve"> 曹錦炎，</w:t>
      </w:r>
      <w:r>
        <w:rPr>
          <w:rFonts w:hint="eastAsia"/>
          <w:lang w:eastAsia="zh-CN"/>
        </w:rPr>
        <w:t>《</w:t>
      </w:r>
      <w:r>
        <w:rPr>
          <w:rFonts w:hint="eastAsia"/>
          <w:lang w:eastAsia="zh-TW"/>
        </w:rPr>
        <w:t>凡物流形</w:t>
      </w:r>
      <w:r>
        <w:rPr>
          <w:rFonts w:hint="eastAsia"/>
          <w:lang w:eastAsia="zh-CN"/>
        </w:rPr>
        <w:t>》</w:t>
      </w:r>
      <w:r>
        <w:rPr>
          <w:rFonts w:hint="eastAsia"/>
          <w:lang w:eastAsia="zh-TW"/>
        </w:rPr>
        <w:t>，馬承源主編《上海博物館藏戰國楚竹書（七）》（上海：上海古籍出版社，2008年），頁221-284。</w:t>
      </w:r>
    </w:p>
  </w:footnote>
  <w:footnote w:id="1">
    <w:p>
      <w:pPr>
        <w:rPr>
          <w:lang w:eastAsia="zh-TW"/>
        </w:rPr>
      </w:pPr>
      <w:r>
        <w:rPr>
          <w:rFonts w:hint="eastAsia"/>
        </w:rPr>
        <w:footnoteRef/>
      </w:r>
      <w:r>
        <w:rPr>
          <w:rFonts w:hint="eastAsia"/>
          <w:lang w:eastAsia="zh-TW"/>
        </w:rPr>
        <w:t xml:space="preserve"> 有關簡序問題，如今大多數學者都讚成顧史考</w:t>
      </w:r>
      <w:r>
        <w:rPr>
          <w:rFonts w:hint="eastAsia"/>
          <w:lang w:eastAsia="zh-CN"/>
        </w:rPr>
        <w:t>《</w:t>
      </w:r>
      <w:r>
        <w:rPr>
          <w:rFonts w:hint="eastAsia"/>
          <w:lang w:eastAsia="zh-TW"/>
        </w:rPr>
        <w:t>上博七〈凡物流形〉簡序及韻讀小補</w:t>
      </w:r>
      <w:r>
        <w:rPr>
          <w:rFonts w:hint="eastAsia"/>
          <w:lang w:eastAsia="zh-CN"/>
        </w:rPr>
        <w:t>》</w:t>
      </w:r>
      <w:r>
        <w:rPr>
          <w:rFonts w:hint="eastAsia"/>
          <w:lang w:eastAsia="zh-TW"/>
        </w:rPr>
        <w:t>，（簡帛網，2009年2月）以及王中江</w:t>
      </w:r>
      <w:r>
        <w:rPr>
          <w:rFonts w:hint="eastAsia"/>
          <w:lang w:eastAsia="zh-CN"/>
        </w:rPr>
        <w:t>《</w:t>
      </w:r>
      <w:r>
        <w:rPr>
          <w:rFonts w:hint="eastAsia"/>
          <w:lang w:eastAsia="zh-TW"/>
        </w:rPr>
        <w:t>〈凡物流形〉編聯新見</w:t>
      </w:r>
      <w:r>
        <w:rPr>
          <w:rFonts w:hint="eastAsia"/>
          <w:lang w:eastAsia="zh-CN"/>
        </w:rPr>
        <w:t>》</w:t>
      </w:r>
      <w:r>
        <w:rPr>
          <w:rFonts w:hint="eastAsia"/>
          <w:lang w:eastAsia="zh-TW"/>
        </w:rPr>
        <w:t>（簡帛網，2009年3月）的意見，即依甲本1至11→12a→13b→14→16→26→18→28→15→24→25→21→13a→12b→22→23→17→19→20→29→3的順序排列。筆者亦大體上支持這一觀點，唯對“21→13a”的接續持保留意見。從這兩簡前後文意並無太大關係來看，在簡21之後補上“目”字並將其與簡13a連接在一起較爲勉強，該部分不排除缺簡的可能。</w:t>
      </w:r>
    </w:p>
  </w:footnote>
  <w:footnote w:id="2">
    <w:p>
      <w:r>
        <w:rPr>
          <w:rFonts w:hint="eastAsia"/>
        </w:rPr>
        <w:footnoteRef/>
      </w:r>
      <w:r>
        <w:rPr>
          <w:rFonts w:hint="eastAsia"/>
        </w:rPr>
        <w:t xml:space="preserve"> 註1曹錦炎釋文，頁221-284。</w:t>
      </w:r>
    </w:p>
  </w:footnote>
  <w:footnote w:id="3">
    <w:p>
      <w:r>
        <w:rPr>
          <w:rFonts w:hint="eastAsia"/>
        </w:rPr>
        <w:footnoteRef/>
      </w:r>
      <w:r>
        <w:rPr>
          <w:rFonts w:hint="eastAsia"/>
        </w:rPr>
        <w:t xml:space="preserve"> 淺野</w:t>
      </w:r>
      <w:r>
        <w:rPr>
          <w:rFonts w:hint="eastAsia"/>
          <w:highlight w:val="none"/>
        </w:rPr>
        <w:t>裕一，</w:t>
      </w:r>
      <w:r>
        <w:rPr>
          <w:rFonts w:hint="eastAsia"/>
          <w:highlight w:val="none"/>
          <w:lang w:eastAsia="zh-CN"/>
        </w:rPr>
        <w:t>《</w:t>
      </w:r>
      <w:r>
        <w:rPr>
          <w:rFonts w:hint="eastAsia"/>
          <w:highlight w:val="none"/>
        </w:rPr>
        <w:t>上博楚簡〈凡物流形〉の全體構成</w:t>
      </w:r>
      <w:r>
        <w:rPr>
          <w:rFonts w:hint="eastAsia"/>
          <w:highlight w:val="none"/>
          <w:lang w:eastAsia="zh-CN"/>
        </w:rPr>
        <w:t>》</w:t>
      </w:r>
      <w:r>
        <w:rPr>
          <w:rFonts w:hint="eastAsia"/>
          <w:highlight w:val="none"/>
        </w:rPr>
        <w:t>，《中國研究</w:t>
      </w:r>
      <w:r>
        <w:rPr>
          <w:rFonts w:hint="eastAsia"/>
        </w:rPr>
        <w:t>集刊》第48號（2009年6月），頁31-68。</w:t>
      </w:r>
    </w:p>
  </w:footnote>
  <w:footnote w:id="4">
    <w:p>
      <w:r>
        <w:rPr>
          <w:rFonts w:hint="eastAsia"/>
        </w:rPr>
        <w:footnoteRef/>
      </w:r>
      <w:r>
        <w:rPr>
          <w:rFonts w:hint="eastAsia"/>
          <w:lang w:eastAsia="zh-TW"/>
        </w:rPr>
        <w:t xml:space="preserve"> 曹峰，《〈凡物流形〉的文本結構與思想特徵》，曹峰《近年出土黃老思想文獻研究》（北京：中國社會科學出版社，2015年），頁356-376。</w:t>
      </w:r>
    </w:p>
  </w:footnote>
  <w:footnote w:id="5">
    <w:p>
      <w:r>
        <w:rPr>
          <w:rFonts w:hint="eastAsia"/>
        </w:rPr>
        <w:footnoteRef/>
      </w:r>
      <w:r>
        <w:rPr>
          <w:rFonts w:hint="eastAsia"/>
          <w:lang w:eastAsia="zh-TW"/>
        </w:rPr>
        <w:t xml:space="preserve"> 註5曹峰論文，頁374-375。</w:t>
      </w:r>
    </w:p>
  </w:footnote>
  <w:footnote w:id="6">
    <w:p>
      <w:pPr>
        <w:rPr>
          <w:lang w:eastAsia="zh-TW"/>
        </w:rPr>
      </w:pPr>
      <w:r>
        <w:rPr>
          <w:rFonts w:hint="eastAsia"/>
        </w:rPr>
        <w:footnoteRef/>
      </w:r>
      <w:r>
        <w:rPr>
          <w:rFonts w:hint="eastAsia"/>
          <w:lang w:eastAsia="zh-TW"/>
        </w:rPr>
        <w:t xml:space="preserve"> 本文所引《凡物流形》文本爲作者綜合以往諸學者意見整理而來的版本。引文中假借字均統一爲通行文字。文中簡號則以甲本爲準。</w:t>
      </w:r>
    </w:p>
  </w:footnote>
  <w:footnote w:id="7">
    <w:p>
      <w:r>
        <w:rPr>
          <w:rFonts w:hint="eastAsia"/>
        </w:rPr>
        <w:footnoteRef/>
      </w:r>
      <w:r>
        <w:rPr>
          <w:rFonts w:hint="eastAsia"/>
          <w:lang w:eastAsia="zh-TW"/>
        </w:rPr>
        <w:t xml:space="preserve"> 顧史考</w:t>
      </w:r>
      <w:r>
        <w:rPr>
          <w:rFonts w:hint="eastAsia"/>
          <w:lang w:eastAsia="zh-CN"/>
        </w:rPr>
        <w:t>《</w:t>
      </w:r>
      <w:r>
        <w:rPr>
          <w:rFonts w:hint="eastAsia"/>
          <w:lang w:eastAsia="zh-TW"/>
        </w:rPr>
        <w:t>上博七〈凡物流形</w:t>
      </w:r>
      <w:r>
        <w:rPr>
          <w:rFonts w:hint="eastAsia"/>
          <w:lang w:val="en-US" w:eastAsia="zh-CN"/>
        </w:rPr>
        <w:t>〉</w:t>
      </w:r>
      <w:r>
        <w:rPr>
          <w:rFonts w:hint="eastAsia"/>
          <w:lang w:eastAsia="zh-TW"/>
        </w:rPr>
        <w:t>上半篇試解</w:t>
      </w:r>
      <w:r>
        <w:rPr>
          <w:rFonts w:hint="eastAsia"/>
          <w:lang w:eastAsia="zh-CN"/>
        </w:rPr>
        <w:t>》</w:t>
      </w:r>
      <w:r>
        <w:rPr>
          <w:rFonts w:hint="eastAsia"/>
          <w:lang w:eastAsia="zh-TW"/>
        </w:rPr>
        <w:t>（復旦大學出土文獻與古文字研究中心網，2009年5月）指出</w:t>
      </w:r>
      <w:r>
        <w:rPr>
          <w:rFonts w:hint="eastAsia"/>
        </w:rPr>
        <w:t>“本篇開宗明義便問及形而上學最根本的一個問題，即天下萬物究竟是何以成其形體的？萬物既已成其形體、既已得到生命，又何以不立卽消失、解體或死去？”</w:t>
      </w:r>
      <w:r>
        <w:rPr>
          <w:rFonts w:hint="eastAsia"/>
          <w:lang w:eastAsia="zh-TW"/>
        </w:rPr>
        <w:t>。</w:t>
      </w:r>
    </w:p>
  </w:footnote>
  <w:footnote w:id="8">
    <w:p>
      <w:r>
        <w:rPr>
          <w:rFonts w:hint="eastAsia"/>
        </w:rPr>
        <w:footnoteRef/>
      </w:r>
      <w:r>
        <w:rPr>
          <w:rFonts w:hint="eastAsia"/>
          <w:lang w:eastAsia="zh-TW"/>
        </w:rPr>
        <w:t xml:space="preserve"> 廖名春《〈凡物流形〉校讀零劄（一）》（孔子2000網，2008年12月）。</w:t>
      </w:r>
    </w:p>
  </w:footnote>
  <w:footnote w:id="9">
    <w:p>
      <w:r>
        <w:rPr>
          <w:rFonts w:hint="eastAsia"/>
        </w:rPr>
        <w:footnoteRef/>
      </w:r>
      <w:r>
        <w:rPr>
          <w:rFonts w:hint="eastAsia"/>
          <w:lang w:eastAsia="zh-TW"/>
        </w:rPr>
        <w:t xml:space="preserve"> 吳國源《〈上博（七）凡物流形〉零釋</w:t>
      </w:r>
      <w:r>
        <w:rPr>
          <w:rFonts w:hint="eastAsia"/>
          <w:lang w:eastAsia="zh-CN"/>
        </w:rPr>
        <w:t>》</w:t>
      </w:r>
      <w:r>
        <w:rPr>
          <w:rFonts w:hint="eastAsia"/>
          <w:lang w:eastAsia="zh-TW"/>
        </w:rPr>
        <w:t>（孔子2000網，2009年1月）。</w:t>
      </w:r>
    </w:p>
  </w:footnote>
  <w:footnote w:id="10">
    <w:p>
      <w:pPr>
        <w:rPr>
          <w:lang w:eastAsia="zh-TW"/>
        </w:rPr>
      </w:pPr>
      <w:r>
        <w:rPr>
          <w:rFonts w:hint="eastAsia"/>
        </w:rPr>
        <w:footnoteRef/>
      </w:r>
      <w:r>
        <w:rPr>
          <w:rFonts w:hint="eastAsia"/>
          <w:lang w:eastAsia="zh-TW"/>
        </w:rPr>
        <w:t xml:space="preserve"> 季旭昇</w:t>
      </w:r>
      <w:r>
        <w:rPr>
          <w:rFonts w:hint="eastAsia"/>
          <w:lang w:eastAsia="zh-CN"/>
        </w:rPr>
        <w:t>《</w:t>
      </w:r>
      <w:r>
        <w:rPr>
          <w:rFonts w:hint="eastAsia"/>
          <w:lang w:eastAsia="zh-TW"/>
        </w:rPr>
        <w:t>上博七芻議三：凡物流形</w:t>
      </w:r>
      <w:r>
        <w:rPr>
          <w:rFonts w:hint="eastAsia"/>
          <w:lang w:eastAsia="zh-CN"/>
        </w:rPr>
        <w:t>》</w:t>
      </w:r>
      <w:r>
        <w:rPr>
          <w:rFonts w:hint="eastAsia"/>
          <w:lang w:eastAsia="zh-TW"/>
        </w:rPr>
        <w:t>（復旦大學出土文獻與古文字研究中心網，2009年1月）認爲</w:t>
      </w:r>
      <w:r>
        <w:rPr>
          <w:rFonts w:hint="eastAsia"/>
        </w:rPr>
        <w:t>“</w:t>
      </w:r>
      <w:r>
        <w:rPr>
          <w:rFonts w:hint="eastAsia"/>
          <w:lang w:eastAsia="zh-CN"/>
        </w:rPr>
        <w:t>‘</w:t>
      </w:r>
      <w:r>
        <w:rPr>
          <w:rFonts w:hint="eastAsia"/>
        </w:rPr>
        <w:t>流形</w:t>
      </w:r>
      <w:r>
        <w:rPr>
          <w:rFonts w:hint="eastAsia"/>
          <w:lang w:eastAsia="zh-CN"/>
        </w:rPr>
        <w:t>’</w:t>
      </w:r>
      <w:r>
        <w:rPr>
          <w:rFonts w:hint="eastAsia"/>
        </w:rPr>
        <w:t>與</w:t>
      </w:r>
      <w:r>
        <w:rPr>
          <w:rFonts w:hint="eastAsia"/>
          <w:lang w:eastAsia="zh-CN"/>
        </w:rPr>
        <w:t>‘</w:t>
      </w:r>
      <w:r>
        <w:rPr>
          <w:rFonts w:hint="eastAsia"/>
        </w:rPr>
        <w:t>成體</w:t>
      </w:r>
      <w:r>
        <w:rPr>
          <w:rFonts w:hint="eastAsia"/>
          <w:lang w:eastAsia="zh-CN"/>
        </w:rPr>
        <w:t>’</w:t>
      </w:r>
      <w:r>
        <w:rPr>
          <w:rFonts w:hint="eastAsia"/>
        </w:rPr>
        <w:t>有別，</w:t>
      </w:r>
      <w:r>
        <w:rPr>
          <w:rFonts w:hint="eastAsia"/>
          <w:lang w:eastAsia="zh-CN"/>
        </w:rPr>
        <w:t>‘</w:t>
      </w:r>
      <w:r>
        <w:rPr>
          <w:rFonts w:hint="eastAsia"/>
        </w:rPr>
        <w:t>流形</w:t>
      </w:r>
      <w:r>
        <w:rPr>
          <w:rFonts w:hint="eastAsia"/>
          <w:lang w:eastAsia="zh-CN"/>
        </w:rPr>
        <w:t>’</w:t>
      </w:r>
      <w:r>
        <w:rPr>
          <w:rFonts w:hint="eastAsia"/>
        </w:rPr>
        <w:t>即</w:t>
      </w:r>
      <w:r>
        <w:rPr>
          <w:rFonts w:hint="eastAsia"/>
          <w:lang w:eastAsia="zh-CN"/>
        </w:rPr>
        <w:t>‘</w:t>
      </w:r>
      <w:r>
        <w:rPr>
          <w:rFonts w:hint="eastAsia"/>
        </w:rPr>
        <w:t>成</w:t>
      </w:r>
      <w:r>
        <w:rPr>
          <w:rFonts w:hint="eastAsia"/>
          <w:lang w:eastAsia="zh-CN"/>
        </w:rPr>
        <w:t>’</w:t>
      </w:r>
      <w:r>
        <w:rPr>
          <w:rFonts w:hint="eastAsia"/>
        </w:rPr>
        <w:t>，</w:t>
      </w:r>
      <w:r>
        <w:rPr>
          <w:rFonts w:hint="eastAsia"/>
          <w:lang w:eastAsia="zh-CN"/>
        </w:rPr>
        <w:t>‘</w:t>
      </w:r>
      <w:r>
        <w:rPr>
          <w:rFonts w:hint="eastAsia"/>
        </w:rPr>
        <w:t>形</w:t>
      </w:r>
      <w:r>
        <w:rPr>
          <w:rFonts w:hint="eastAsia"/>
          <w:lang w:eastAsia="zh-CN"/>
        </w:rPr>
        <w:t>’</w:t>
      </w:r>
      <w:r>
        <w:rPr>
          <w:rFonts w:hint="eastAsia"/>
        </w:rPr>
        <w:t>爲形式義、材質義，屬外在；</w:t>
      </w:r>
      <w:r>
        <w:rPr>
          <w:rFonts w:hint="eastAsia"/>
          <w:lang w:eastAsia="zh-CN"/>
        </w:rPr>
        <w:t>‘</w:t>
      </w:r>
      <w:r>
        <w:rPr>
          <w:rFonts w:hint="eastAsia"/>
        </w:rPr>
        <w:t>成體</w:t>
      </w:r>
      <w:r>
        <w:rPr>
          <w:rFonts w:hint="eastAsia"/>
          <w:lang w:eastAsia="zh-CN"/>
        </w:rPr>
        <w:t>’</w:t>
      </w:r>
      <w:r>
        <w:rPr>
          <w:rFonts w:hint="eastAsia"/>
        </w:rPr>
        <w:t>即</w:t>
      </w:r>
      <w:r>
        <w:rPr>
          <w:rFonts w:hint="eastAsia"/>
          <w:lang w:eastAsia="zh-CN"/>
        </w:rPr>
        <w:t>‘</w:t>
      </w:r>
      <w:r>
        <w:rPr>
          <w:rFonts w:hint="eastAsia"/>
        </w:rPr>
        <w:t>生</w:t>
      </w:r>
      <w:r>
        <w:rPr>
          <w:rFonts w:hint="eastAsia"/>
          <w:lang w:eastAsia="zh-CN"/>
        </w:rPr>
        <w:t>’</w:t>
      </w:r>
      <w:r>
        <w:rPr>
          <w:rFonts w:hint="eastAsia"/>
        </w:rPr>
        <w:t>，爲實質義、生命義，屬內在”</w:t>
      </w:r>
      <w:r>
        <w:rPr>
          <w:rFonts w:hint="eastAsia"/>
          <w:lang w:eastAsia="zh-TW"/>
        </w:rPr>
        <w:t>。然而，從“體”這一用字亦涉及外在之形體來看，將“成體”賦予內在的實質、生命的“生”這層意涵並依此將其與“流形”進行區別顯然有些勉強。此外，郭靜云《</w:t>
      </w:r>
      <w:r>
        <w:rPr>
          <w:rFonts w:hint="eastAsia"/>
          <w:lang w:val="en-US" w:eastAsia="zh-CN"/>
        </w:rPr>
        <w:t>〈</w:t>
      </w:r>
      <w:r>
        <w:rPr>
          <w:rFonts w:hint="eastAsia"/>
          <w:lang w:eastAsia="zh-TW"/>
        </w:rPr>
        <w:t>上博七？物流形</w:t>
      </w:r>
      <w:r>
        <w:rPr>
          <w:rFonts w:hint="eastAsia"/>
          <w:lang w:val="en-US" w:eastAsia="zh-CN"/>
        </w:rPr>
        <w:t>〉</w:t>
      </w:r>
      <w:r>
        <w:rPr>
          <w:rFonts w:hint="eastAsia"/>
          <w:lang w:eastAsia="zh-TW"/>
        </w:rPr>
        <w:t>篇名考</w:t>
      </w:r>
      <w:r>
        <w:rPr>
          <w:rFonts w:hint="eastAsia"/>
          <w:lang w:eastAsia="zh-CN"/>
        </w:rPr>
        <w:t>》</w:t>
      </w:r>
      <w:r>
        <w:rPr>
          <w:rFonts w:hint="eastAsia"/>
          <w:lang w:eastAsia="zh-TW"/>
        </w:rPr>
        <w:t>（復旦大學出土文獻與古文字研究中心網，2010年2月）認爲“流形”即“流布成形”，將“流”解釋爲“氣流”的狀態，並將“形”解釋爲“形成”。</w:t>
      </w:r>
    </w:p>
  </w:footnote>
  <w:footnote w:id="11">
    <w:p>
      <w:r>
        <w:rPr>
          <w:rFonts w:hint="eastAsia"/>
        </w:rPr>
        <w:footnoteRef/>
      </w:r>
      <w:r>
        <w:rPr>
          <w:rFonts w:hint="eastAsia"/>
        </w:rPr>
        <w:t xml:space="preserve"> 原整理者指出了上述部分與《易・乾・彖傳》的關係。註9廖名春論文指出了其與《管子・水地》的關係。</w:t>
      </w:r>
    </w:p>
  </w:footnote>
  <w:footnote w:id="12">
    <w:p>
      <w:pPr>
        <w:rPr>
          <w:lang w:eastAsia="zh-TW"/>
        </w:rPr>
      </w:pPr>
      <w:r>
        <w:rPr>
          <w:rFonts w:hint="eastAsia"/>
        </w:rPr>
        <w:footnoteRef/>
      </w:r>
      <w:r>
        <w:rPr>
          <w:rFonts w:hint="eastAsia"/>
          <w:lang w:eastAsia="zh-TW"/>
        </w:rPr>
        <w:t xml:space="preserve"> 註11季旭昇論文指出</w:t>
      </w:r>
      <w:r>
        <w:rPr>
          <w:rFonts w:hint="eastAsia"/>
        </w:rPr>
        <w:t>“凡”</w:t>
      </w:r>
      <w:r>
        <w:rPr>
          <w:rFonts w:hint="eastAsia"/>
          <w:lang w:eastAsia="zh-TW"/>
        </w:rPr>
        <w:t>與</w:t>
      </w:r>
      <w:r>
        <w:rPr>
          <w:rFonts w:hint="eastAsia"/>
        </w:rPr>
        <w:t>“品”</w:t>
      </w:r>
      <w:r>
        <w:rPr>
          <w:rFonts w:hint="eastAsia"/>
          <w:lang w:eastAsia="zh-TW"/>
        </w:rPr>
        <w:t>音義俱近，凡（奉紐侵部）、品（滂紐侵部）音近可通。其義，“凡”有最括、總舉之意；“品”有眾庶、眾物之意，實亦相近。</w:t>
      </w:r>
    </w:p>
  </w:footnote>
  <w:footnote w:id="13">
    <w:p>
      <w:pPr>
        <w:rPr>
          <w:lang w:eastAsia="zh-TW"/>
        </w:rPr>
      </w:pPr>
      <w:r>
        <w:rPr>
          <w:rFonts w:hint="eastAsia"/>
        </w:rPr>
        <w:footnoteRef/>
      </w:r>
      <w:r>
        <w:rPr>
          <w:rFonts w:hint="eastAsia"/>
        </w:rPr>
        <w:t xml:space="preserve"> 此外《淮南子・繆稱》“金錫不消釋，則不流刑”一文涉及金屬融化，此處的“流”顯然爲“流動”之義。</w:t>
      </w:r>
      <w:r>
        <w:rPr>
          <w:rFonts w:hint="eastAsia"/>
          <w:lang w:eastAsia="zh-TW"/>
        </w:rPr>
        <w:t>馬王堆帛書《十問》第87號簡</w:t>
      </w:r>
      <w:r>
        <w:rPr>
          <w:rFonts w:hint="eastAsia"/>
        </w:rPr>
        <w:t>“夫臥、使食靡消、散藥以流刑者也。辟臥於食、如火於金。故一昔不臥、百日不復、食不化”</w:t>
      </w:r>
      <w:r>
        <w:rPr>
          <w:rFonts w:hint="eastAsia"/>
          <w:lang w:eastAsia="zh-TW"/>
        </w:rPr>
        <w:t>中的</w:t>
      </w:r>
      <w:r>
        <w:rPr>
          <w:rFonts w:hint="eastAsia"/>
        </w:rPr>
        <w:t>“流刑”</w:t>
      </w:r>
      <w:r>
        <w:rPr>
          <w:rFonts w:hint="eastAsia"/>
          <w:lang w:eastAsia="zh-TW"/>
        </w:rPr>
        <w:t>亦很可能指如液體般流動的狀態。原整理者亦引《説文解字》“流，水行也”指出“流”指“水或其他液體移動”。</w:t>
      </w:r>
    </w:p>
  </w:footnote>
  <w:footnote w:id="14">
    <w:p>
      <w:r>
        <w:rPr>
          <w:rFonts w:hint="eastAsia"/>
        </w:rPr>
        <w:footnoteRef/>
      </w:r>
      <w:r>
        <w:rPr>
          <w:rFonts w:hint="eastAsia"/>
          <w:lang w:eastAsia="zh-TW"/>
        </w:rPr>
        <w:t xml:space="preserve"> 復旦大學出土文獻與古文字研究中心研究生讀書會《〈上博（七）•凡物流形〉重編釋文》（復旦大學出土文獻與古文字研究中心網，2008年12月）。</w:t>
      </w:r>
    </w:p>
  </w:footnote>
  <w:footnote w:id="15">
    <w:p>
      <w:r>
        <w:rPr>
          <w:rFonts w:hint="eastAsia"/>
        </w:rPr>
        <w:footnoteRef/>
      </w:r>
      <w:r>
        <w:rPr>
          <w:rFonts w:hint="eastAsia"/>
          <w:lang w:eastAsia="zh-TW"/>
        </w:rPr>
        <w:t xml:space="preserve"> 秦樺林《〈凡物流形〉第二十一簡試解》（復旦大學出土文獻與古文字研究中心網，2009年1月）。</w:t>
      </w:r>
    </w:p>
  </w:footnote>
  <w:footnote w:id="16">
    <w:p>
      <w:r>
        <w:rPr>
          <w:rFonts w:hint="eastAsia"/>
        </w:rPr>
        <w:footnoteRef/>
      </w:r>
      <w:r>
        <w:rPr>
          <w:rFonts w:hint="eastAsia"/>
          <w:lang w:eastAsia="zh-TW"/>
        </w:rPr>
        <w:t xml:space="preserve"> 沈培先在論文《略説〈上博（七）〉新見的</w:t>
      </w:r>
      <w:r>
        <w:rPr>
          <w:rFonts w:hint="eastAsia"/>
        </w:rPr>
        <w:t>“一”</w:t>
      </w:r>
      <w:r>
        <w:rPr>
          <w:rFonts w:hint="eastAsia"/>
          <w:lang w:eastAsia="zh-TW"/>
        </w:rPr>
        <w:t>字》（復旦大學出土文獻與古文字研究中心網，2008年12月）中將是字解釋爲</w:t>
      </w:r>
      <w:r>
        <w:rPr>
          <w:rFonts w:hint="eastAsia"/>
        </w:rPr>
        <w:t>“四”</w:t>
      </w:r>
      <w:r>
        <w:rPr>
          <w:rFonts w:hint="eastAsia"/>
          <w:lang w:eastAsia="zh-TW"/>
        </w:rPr>
        <w:t>，其後又在註16秦樺林論文的評論區說明了理由。</w:t>
      </w:r>
    </w:p>
  </w:footnote>
  <w:footnote w:id="17">
    <w:p>
      <w:r>
        <w:rPr>
          <w:rFonts w:hint="eastAsia"/>
        </w:rPr>
        <w:footnoteRef/>
      </w:r>
      <w:r>
        <w:rPr>
          <w:rFonts w:hint="eastAsia"/>
          <w:lang w:eastAsia="zh-TW"/>
        </w:rPr>
        <w:t xml:space="preserve"> 李銳《〈凡物流形〉釋文新編》（孔子2000網，2008年12月）。</w:t>
      </w:r>
    </w:p>
  </w:footnote>
  <w:footnote w:id="18">
    <w:p>
      <w:r>
        <w:rPr>
          <w:rFonts w:hint="eastAsia"/>
        </w:rPr>
        <w:footnoteRef/>
      </w:r>
      <w:r>
        <w:rPr>
          <w:rFonts w:hint="eastAsia"/>
          <w:lang w:eastAsia="zh-TW"/>
        </w:rPr>
        <w:t xml:space="preserve"> 曹峰《〈凡物流形〉</w:t>
      </w:r>
      <w:r>
        <w:rPr>
          <w:rFonts w:hint="eastAsia"/>
        </w:rPr>
        <w:t>“四成結”</w:t>
      </w:r>
      <w:r>
        <w:rPr>
          <w:rFonts w:hint="eastAsia"/>
          <w:lang w:eastAsia="zh-TW"/>
        </w:rPr>
        <w:t>試解》，曹峰《近年出土黃老思想文獻研究》（北京：中國社會科學出版社，2015年），頁348-355。</w:t>
      </w:r>
    </w:p>
  </w:footnote>
  <w:footnote w:id="19">
    <w:p>
      <w:r>
        <w:rPr>
          <w:rFonts w:hint="eastAsia"/>
        </w:rPr>
        <w:footnoteRef/>
      </w:r>
      <w:r>
        <w:rPr>
          <w:rFonts w:hint="eastAsia"/>
        </w:rPr>
        <w:t xml:space="preserve"> 釋文引自武漢大學簡帛研究中心・荊門市博物館編著《楚地出土戰國簡册合集（一） 郭店楚墓竹書》（文物出版社，2011年）。</w:t>
      </w:r>
    </w:p>
  </w:footnote>
  <w:footnote w:id="20">
    <w:p>
      <w:pPr>
        <w:rPr>
          <w:lang w:eastAsia="zh-TW"/>
        </w:rPr>
      </w:pPr>
      <w:r>
        <w:rPr>
          <w:rFonts w:hint="eastAsia"/>
        </w:rPr>
        <w:footnoteRef/>
      </w:r>
      <w:r>
        <w:rPr>
          <w:rFonts w:hint="eastAsia"/>
          <w:lang w:eastAsia="zh-TW"/>
        </w:rPr>
        <w:t xml:space="preserve"> 《太一生水》的生成序列最後以</w:t>
      </w:r>
      <w:r>
        <w:rPr>
          <w:rFonts w:hint="eastAsia"/>
        </w:rPr>
        <w:t>“成歳而止”</w:t>
      </w:r>
      <w:r>
        <w:rPr>
          <w:rFonts w:hint="eastAsia"/>
          <w:lang w:eastAsia="zh-TW"/>
        </w:rPr>
        <w:t>作結，著眼點在於時間及年歳的生成。雖未直接涉及萬物生成，然而若考慮萬物亦由“天地”生成而來，則上述“太一”至“天地”的生成論亦當能適用於萬物的生成。此外，同樣涉及數字式的生成序列的文獻，如傳世本《老子》第四十二章“道生一，一生二，二生三，三生萬物”的“道”→“一”→“二”→“三”→“萬物”以及《易</w:t>
      </w:r>
      <w:r>
        <w:rPr>
          <w:rFonts w:hint="eastAsia"/>
        </w:rPr>
        <w:t>・</w:t>
      </w:r>
      <w:r>
        <w:rPr>
          <w:rFonts w:hint="eastAsia"/>
          <w:lang w:eastAsia="zh-TW"/>
        </w:rPr>
        <w:t>繫辭上》“易有太極，是生兩儀，兩儀生四象，四象生八卦”的“太極”→“兩儀”→“四象”→“八卦”均無法完全與《太一生水》的生成序列相對應。</w:t>
      </w:r>
    </w:p>
  </w:footnote>
  <w:footnote w:id="21">
    <w:p>
      <w:r>
        <w:rPr>
          <w:rFonts w:hint="eastAsia"/>
        </w:rPr>
        <w:footnoteRef/>
      </w:r>
      <w:r>
        <w:rPr>
          <w:rFonts w:hint="eastAsia"/>
          <w:lang w:eastAsia="zh-TW"/>
        </w:rPr>
        <w:t xml:space="preserve"> 以下爲方便行文，將各章除</w:t>
      </w:r>
      <w:r>
        <w:rPr>
          <w:rFonts w:hint="eastAsia"/>
        </w:rPr>
        <w:t>“聞之曰”</w:t>
      </w:r>
      <w:r>
        <w:rPr>
          <w:rFonts w:hint="eastAsia"/>
          <w:lang w:eastAsia="zh-TW"/>
        </w:rPr>
        <w:t>以外的最初幾個文字作爲章的標題。</w:t>
      </w:r>
    </w:p>
  </w:footnote>
  <w:footnote w:id="22">
    <w:p>
      <w:r>
        <w:rPr>
          <w:rFonts w:hint="eastAsia"/>
        </w:rPr>
        <w:footnoteRef/>
      </w:r>
      <w:r>
        <w:rPr>
          <w:rFonts w:hint="eastAsia"/>
          <w:lang w:eastAsia="zh-TW"/>
        </w:rPr>
        <w:t xml:space="preserve"> 顧史考《上博七〈凡物流形〉下半篇試解》（復旦大學出土文獻與古文字研究中心網，2009年7月）指出</w:t>
      </w:r>
      <w:r>
        <w:rPr>
          <w:rFonts w:hint="eastAsia"/>
        </w:rPr>
        <w:t>“本章蓋言天地萬物之周而復始、新陳代謝、生死循環不斷之理，亦即下章</w:t>
      </w:r>
      <w:r>
        <w:rPr>
          <w:rFonts w:hint="eastAsia"/>
          <w:lang w:eastAsia="zh-CN"/>
        </w:rPr>
        <w:t>‘</w:t>
      </w:r>
      <w:r>
        <w:rPr>
          <w:rFonts w:hint="eastAsia"/>
        </w:rPr>
        <w:t>不死</w:t>
      </w:r>
      <w:r>
        <w:rPr>
          <w:rFonts w:hint="eastAsia"/>
          <w:lang w:eastAsia="zh-CN"/>
        </w:rPr>
        <w:t>’</w:t>
      </w:r>
      <w:r>
        <w:rPr>
          <w:rFonts w:hint="eastAsia"/>
          <w:lang w:eastAsia="zh-TW"/>
        </w:rPr>
        <w:t>之謂</w:t>
      </w:r>
      <w:r>
        <w:rPr>
          <w:rFonts w:hint="eastAsia"/>
        </w:rPr>
        <w:t>”</w:t>
      </w:r>
      <w:r>
        <w:rPr>
          <w:rFonts w:hint="eastAsia"/>
          <w:lang w:eastAsia="zh-TW"/>
        </w:rPr>
        <w:t>。</w:t>
      </w:r>
    </w:p>
  </w:footnote>
  <w:footnote w:id="23">
    <w:p>
      <w:pPr>
        <w:rPr>
          <w:lang w:eastAsia="zh-TW"/>
        </w:rPr>
      </w:pPr>
      <w:r>
        <w:rPr>
          <w:rFonts w:hint="eastAsia"/>
        </w:rPr>
        <w:footnoteRef/>
      </w:r>
      <w:r>
        <w:rPr>
          <w:rFonts w:hint="eastAsia"/>
          <w:lang w:eastAsia="zh-TW"/>
        </w:rPr>
        <w:t xml:space="preserve"> 最淺顯的理解當爲作爲個體的人雖死，然其子孫後代的出生使人作爲整體得以存續。不過結合“如月，出則或入，終則或始，至則或反”一文來看，此處似指更具抽象意義的由生至死、由死至生的循環往復。</w:t>
      </w:r>
    </w:p>
  </w:footnote>
  <w:footnote w:id="24">
    <w:p>
      <w:pPr>
        <w:rPr>
          <w:lang w:eastAsia="zh-TW"/>
        </w:rPr>
      </w:pPr>
      <w:r>
        <w:rPr>
          <w:rFonts w:hint="eastAsia"/>
        </w:rPr>
        <w:footnoteRef/>
      </w:r>
      <w:r>
        <w:rPr>
          <w:rFonts w:hint="eastAsia"/>
          <w:lang w:eastAsia="zh-TW"/>
        </w:rPr>
        <w:t xml:space="preserve"> 此處釋爲</w:t>
      </w:r>
      <w:r>
        <w:rPr>
          <w:rFonts w:hint="eastAsia"/>
        </w:rPr>
        <w:t>“靜”</w:t>
      </w:r>
      <w:r>
        <w:rPr>
          <w:rFonts w:hint="eastAsia"/>
          <w:lang w:eastAsia="zh-TW"/>
        </w:rPr>
        <w:t>的字，有</w:t>
      </w:r>
      <w:r>
        <w:rPr>
          <w:rFonts w:hint="eastAsia"/>
        </w:rPr>
        <w:t>“情”</w:t>
      </w:r>
      <w:r>
        <w:rPr>
          <w:rFonts w:hint="eastAsia"/>
          <w:lang w:eastAsia="zh-TW"/>
        </w:rPr>
        <w:t>（原整理者），</w:t>
      </w:r>
      <w:r>
        <w:rPr>
          <w:rFonts w:hint="eastAsia"/>
        </w:rPr>
        <w:t>“精”</w:t>
      </w:r>
      <w:r>
        <w:rPr>
          <w:rFonts w:hint="eastAsia"/>
          <w:lang w:eastAsia="zh-TW"/>
        </w:rPr>
        <w:t>（註18李銳論文）、</w:t>
      </w:r>
      <w:r>
        <w:rPr>
          <w:rFonts w:hint="eastAsia"/>
        </w:rPr>
        <w:t>“靜”</w:t>
      </w:r>
      <w:r>
        <w:rPr>
          <w:rFonts w:hint="eastAsia"/>
          <w:lang w:eastAsia="zh-TW"/>
        </w:rPr>
        <w:t>（廖名春《〈凡物流形〉校讀零劄（二）》（孔子2000網，2008年12月））等多種解釋。筆者將其解釋爲“靜”的主要理由爲，《凡物流形》中“靜”與“無爲”以及“一”等要素直接相關。此外，“靜”與“同”在道家相關文獻中常同時出現，如《文子</w:t>
      </w:r>
      <w:r>
        <w:rPr>
          <w:rFonts w:hint="eastAsia"/>
        </w:rPr>
        <w:t>・</w:t>
      </w:r>
      <w:r>
        <w:rPr>
          <w:rFonts w:hint="eastAsia"/>
          <w:lang w:eastAsia="zh-TW"/>
        </w:rPr>
        <w:t>自然》“靜則同，虛則通，至德無爲，萬物皆容”，又如楚簡《恆先》“虛靜爲一，若寂寂夢夢靜同”。</w:t>
      </w:r>
    </w:p>
  </w:footnote>
  <w:footnote w:id="25">
    <w:p>
      <w:r>
        <w:rPr>
          <w:rFonts w:hint="eastAsia"/>
        </w:rPr>
        <w:footnoteRef/>
      </w:r>
      <w:r>
        <w:rPr>
          <w:rFonts w:hint="eastAsia"/>
          <w:lang w:eastAsia="zh-TW"/>
        </w:rPr>
        <w:t xml:space="preserve"> 有關將該句最初的文字解釋爲</w:t>
      </w:r>
      <w:r>
        <w:rPr>
          <w:rFonts w:hint="eastAsia"/>
        </w:rPr>
        <w:t>“識”</w:t>
      </w:r>
      <w:r>
        <w:rPr>
          <w:rFonts w:hint="eastAsia"/>
          <w:lang w:eastAsia="zh-TW"/>
        </w:rPr>
        <w:t>字，詳見註30。</w:t>
      </w:r>
    </w:p>
  </w:footnote>
  <w:footnote w:id="26">
    <w:p>
      <w:r>
        <w:rPr>
          <w:rFonts w:hint="eastAsia"/>
        </w:rPr>
        <w:footnoteRef/>
      </w:r>
      <w:r>
        <w:rPr>
          <w:rFonts w:hint="eastAsia"/>
          <w:lang w:eastAsia="zh-TW"/>
        </w:rPr>
        <w:t xml:space="preserve"> 秦樺林</w:t>
      </w:r>
      <w:r>
        <w:rPr>
          <w:rFonts w:hint="eastAsia"/>
          <w:lang w:eastAsia="zh-CN"/>
        </w:rPr>
        <w:t>《</w:t>
      </w:r>
      <w:r>
        <w:rPr>
          <w:rFonts w:hint="eastAsia"/>
          <w:lang w:eastAsia="zh-TW"/>
        </w:rPr>
        <w:t>楚簡</w:t>
      </w:r>
      <w:r>
        <w:rPr>
          <w:rFonts w:hint="eastAsia"/>
          <w:lang w:val="en-US" w:eastAsia="zh-CN"/>
        </w:rPr>
        <w:t>〈</w:t>
      </w:r>
      <w:r>
        <w:rPr>
          <w:rFonts w:hint="eastAsia"/>
          <w:lang w:eastAsia="zh-TW"/>
        </w:rPr>
        <w:t>凡物流形</w:t>
      </w:r>
      <w:r>
        <w:rPr>
          <w:rFonts w:hint="eastAsia"/>
          <w:lang w:val="en-US" w:eastAsia="zh-CN"/>
        </w:rPr>
        <w:t>〉</w:t>
      </w:r>
      <w:r>
        <w:rPr>
          <w:rFonts w:hint="eastAsia"/>
          <w:lang w:eastAsia="zh-TW"/>
        </w:rPr>
        <w:t>札記二則</w:t>
      </w:r>
      <w:r>
        <w:rPr>
          <w:rFonts w:hint="eastAsia"/>
          <w:lang w:eastAsia="zh-CN"/>
        </w:rPr>
        <w:t>》</w:t>
      </w:r>
      <w:r>
        <w:rPr>
          <w:rFonts w:hint="eastAsia"/>
          <w:lang w:eastAsia="zh-TW"/>
        </w:rPr>
        <w:t>（簡帛網，2009年1月）。</w:t>
      </w:r>
    </w:p>
  </w:footnote>
  <w:footnote w:id="27">
    <w:p>
      <w:r>
        <w:rPr>
          <w:rFonts w:hint="eastAsia"/>
        </w:rPr>
        <w:footnoteRef/>
      </w:r>
      <w:r>
        <w:rPr>
          <w:rFonts w:hint="eastAsia"/>
          <w:lang w:eastAsia="zh-TW"/>
        </w:rPr>
        <w:t xml:space="preserve"> 註27秦樺林論文。</w:t>
      </w:r>
    </w:p>
  </w:footnote>
  <w:footnote w:id="28">
    <w:p>
      <w:r>
        <w:rPr>
          <w:rFonts w:hint="eastAsia"/>
        </w:rPr>
        <w:footnoteRef/>
      </w:r>
      <w:r>
        <w:rPr>
          <w:rFonts w:hint="eastAsia"/>
          <w:lang w:eastAsia="zh-TW"/>
        </w:rPr>
        <w:t xml:space="preserve"> 傳世本《老子》文本均引</w:t>
      </w:r>
      <w:r>
        <w:rPr>
          <w:rFonts w:hint="eastAsia"/>
        </w:rPr>
        <w:t>自</w:t>
      </w:r>
      <w:r>
        <w:rPr>
          <w:rFonts w:hint="eastAsia"/>
          <w:lang w:eastAsia="zh-TW"/>
        </w:rPr>
        <w:t>樓宇烈《老子道德經注校釋》（北京：中華書局，2008年）。</w:t>
      </w:r>
    </w:p>
  </w:footnote>
  <w:footnote w:id="29">
    <w:p>
      <w:r>
        <w:rPr>
          <w:rFonts w:hint="eastAsia"/>
        </w:rPr>
        <w:footnoteRef/>
      </w:r>
      <w:r>
        <w:rPr>
          <w:rFonts w:hint="eastAsia"/>
          <w:lang w:eastAsia="zh-TW"/>
        </w:rPr>
        <w:t xml:space="preserve"> 註18李銳論文指出</w:t>
      </w:r>
      <w:r>
        <w:rPr>
          <w:rFonts w:hint="eastAsia"/>
        </w:rPr>
        <w:t>“心不勝心”</w:t>
      </w:r>
      <w:r>
        <w:rPr>
          <w:rFonts w:hint="eastAsia"/>
          <w:lang w:eastAsia="zh-TW"/>
        </w:rPr>
        <w:t>章與《管子》内業篇、心術下篇可能存在關聯。曹峰進一步利用内業篇</w:t>
      </w:r>
      <w:r>
        <w:rPr>
          <w:rFonts w:hint="eastAsia"/>
        </w:rPr>
        <w:t>“我心治，官乃治。我心安，官乃安。治之者心也，安之者心也。心以藏心，心之中又有心焉。彼心之心，音以先言，音然後形，形然後言，言然後使，使然後治。不治必亂，亂乃死”</w:t>
      </w:r>
      <w:r>
        <w:rPr>
          <w:rFonts w:hint="eastAsia"/>
          <w:lang w:eastAsia="zh-TW"/>
        </w:rPr>
        <w:t>對該章內容進行了詳細考察。見曹峰《〈凡物流形〉“心不勝心”章疏證》，曹峰《近年出土黃老思想文獻研究》（北京：中國社會科學出版社，2015年），頁328-340。筆者雖亦認爲兩種文獻存在諸多相似之處，然由於内業篇相關部分亦較爲難懂，其其具體思想內容亦未必與《凡物流形》完全一致，故不主張將對內業篇內容的解釋直接運用到《凡物流形》中。</w:t>
      </w:r>
    </w:p>
  </w:footnote>
  <w:footnote w:id="30">
    <w:p>
      <w:pPr>
        <w:rPr>
          <w:lang w:eastAsia="zh-TW"/>
        </w:rPr>
      </w:pPr>
      <w:r>
        <w:rPr>
          <w:rFonts w:hint="eastAsia"/>
        </w:rPr>
        <w:footnoteRef/>
      </w:r>
      <w:r>
        <w:rPr>
          <w:rFonts w:hint="eastAsia"/>
          <w:lang w:eastAsia="zh-TW"/>
        </w:rPr>
        <w:t xml:space="preserve"> 關於此處的</w:t>
      </w:r>
      <w:r>
        <w:rPr>
          <w:rFonts w:hint="eastAsia"/>
        </w:rPr>
        <w:t>“識”</w:t>
      </w:r>
      <w:r>
        <w:rPr>
          <w:rFonts w:hint="eastAsia"/>
          <w:lang w:eastAsia="zh-TW"/>
        </w:rPr>
        <w:t>字，目前已存在</w:t>
      </w:r>
      <w:r>
        <w:rPr>
          <w:rFonts w:hint="eastAsia"/>
        </w:rPr>
        <w:t>“識”</w:t>
      </w:r>
      <w:r>
        <w:rPr>
          <w:rFonts w:hint="eastAsia"/>
          <w:lang w:eastAsia="zh-TW"/>
        </w:rPr>
        <w:t>（原整理者）、</w:t>
      </w:r>
      <w:r>
        <w:rPr>
          <w:rFonts w:hint="eastAsia"/>
        </w:rPr>
        <w:t>“得”</w:t>
      </w:r>
      <w:r>
        <w:rPr>
          <w:rFonts w:hint="eastAsia"/>
          <w:lang w:eastAsia="zh-TW"/>
        </w:rPr>
        <w:t>（註25廖名春論文）、</w:t>
      </w:r>
      <w:r>
        <w:rPr>
          <w:rFonts w:hint="eastAsia"/>
        </w:rPr>
        <w:t>“守”</w:t>
      </w:r>
      <w:r>
        <w:rPr>
          <w:rFonts w:hint="eastAsia"/>
          <w:lang w:eastAsia="zh-TW"/>
        </w:rPr>
        <w:t>（復旦大學讀書會）、</w:t>
      </w:r>
      <w:r>
        <w:rPr>
          <w:rFonts w:hint="eastAsia"/>
        </w:rPr>
        <w:t>“執”</w:t>
      </w:r>
      <w:r>
        <w:rPr>
          <w:rFonts w:hint="eastAsia"/>
          <w:lang w:eastAsia="zh-TW"/>
        </w:rPr>
        <w:t>（復旦大學讀書會）、</w:t>
      </w:r>
      <w:r>
        <w:rPr>
          <w:rFonts w:hint="eastAsia"/>
        </w:rPr>
        <w:t>“察”</w:t>
      </w:r>
      <w:r>
        <w:rPr>
          <w:rFonts w:hint="eastAsia"/>
          <w:lang w:eastAsia="zh-TW"/>
        </w:rPr>
        <w:t>（何有祖〈《凡物流形》札記〉（簡帛網，2009年1月）等多種解釋。該字在《凡物流形》全篇共出現13次，置於“道”或“一”之前時，作“識”、“執”、“察”解對文意的理解影響不大。雖然在其他道家相關文獻中確實多見“執道”、“執一”等，但單就此部分而言作“人白爲執”，並如註30曹峰論文般解釋爲“因爲人能執持白心”，從文脈來看太過勉強。至於釋爲“察”，雖能與前句的“小徹”押韻（見丁四新《“察一”（“察道”）的工夫與功用――論楚竹書〈凡物流形</w:t>
      </w:r>
      <w:r>
        <w:rPr>
          <w:rFonts w:hint="eastAsia"/>
          <w:lang w:val="en-US" w:eastAsia="zh-CN"/>
        </w:rPr>
        <w:t>〉</w:t>
      </w:r>
      <w:r>
        <w:rPr>
          <w:rFonts w:hint="eastAsia"/>
          <w:lang w:eastAsia="zh-TW"/>
        </w:rPr>
        <w:t>第二部分文本的哲學思想》，《武漢大學學報人文科學版》第66卷（2013年1月），頁19-24。註5引沈培説），然而從文脈來看，是句顯然描述的是對應“小徹”的外部狀態，因此當作“識”，讀zhì最爲合理。其他部分該字亦由此統一作“識”解。</w:t>
      </w:r>
    </w:p>
  </w:footnote>
  <w:footnote w:id="31">
    <w:p>
      <w:pPr>
        <w:rPr>
          <w:lang w:eastAsia="zh-TW"/>
        </w:rPr>
      </w:pPr>
      <w:r>
        <w:rPr>
          <w:rFonts w:hint="eastAsia"/>
        </w:rPr>
        <w:footnoteRef/>
      </w:r>
      <w:r>
        <w:rPr>
          <w:rFonts w:hint="eastAsia"/>
          <w:lang w:eastAsia="zh-TW"/>
        </w:rPr>
        <w:t xml:space="preserve"> 有關“寡言”與“靜”的關係，還可參考《春秋繁露</w:t>
      </w:r>
      <w:r>
        <w:rPr>
          <w:rFonts w:hint="eastAsia"/>
        </w:rPr>
        <w:t>・</w:t>
      </w:r>
      <w:r>
        <w:rPr>
          <w:rFonts w:hint="eastAsia"/>
          <w:lang w:eastAsia="zh-TW"/>
        </w:rPr>
        <w:t>保位權》“爲人君者居無爲之位，行不言之敎。寂而無聲，靜而無形，執一無端，爲國源泉”。</w:t>
      </w:r>
    </w:p>
  </w:footnote>
  <w:footnote w:id="32">
    <w:p>
      <w:pPr>
        <w:rPr>
          <w:lang w:eastAsia="zh-TW"/>
        </w:rPr>
      </w:pPr>
      <w:r>
        <w:rPr>
          <w:rFonts w:hint="eastAsia"/>
        </w:rPr>
        <w:footnoteRef/>
      </w:r>
      <w:r>
        <w:rPr>
          <w:rFonts w:hint="eastAsia"/>
          <w:lang w:eastAsia="zh-TW"/>
        </w:rPr>
        <w:t xml:space="preserve"> 值得注意的是，</w:t>
      </w:r>
      <w:r>
        <w:rPr>
          <w:rFonts w:hint="eastAsia"/>
        </w:rPr>
        <w:t>“一”</w:t>
      </w:r>
      <w:r>
        <w:rPr>
          <w:rFonts w:hint="eastAsia"/>
          <w:lang w:eastAsia="zh-TW"/>
        </w:rPr>
        <w:t>與</w:t>
      </w:r>
      <w:r>
        <w:rPr>
          <w:rFonts w:hint="eastAsia"/>
        </w:rPr>
        <w:t>“靜”</w:t>
      </w:r>
      <w:r>
        <w:rPr>
          <w:rFonts w:hint="eastAsia"/>
          <w:lang w:eastAsia="zh-TW"/>
        </w:rPr>
        <w:t>本身很難直接劃等號連結。此處作者通過“心一”的工夫將“心”之“靜”與“一”結合，間接將兩者聯繫在了一起。</w:t>
      </w:r>
    </w:p>
  </w:footnote>
  <w:footnote w:id="33">
    <w:p>
      <w:pPr>
        <w:rPr>
          <w:lang w:eastAsia="zh-TW"/>
        </w:rPr>
      </w:pPr>
      <w:r>
        <w:rPr>
          <w:rFonts w:hint="eastAsia"/>
        </w:rPr>
        <w:footnoteRef/>
      </w:r>
      <w:r>
        <w:rPr>
          <w:rFonts w:hint="eastAsia"/>
          <w:lang w:eastAsia="zh-TW"/>
        </w:rPr>
        <w:t xml:space="preserve"> 原整理者將該字隸定爲</w:t>
      </w:r>
      <w:r>
        <w:rPr>
          <w:rFonts w:hint="eastAsia"/>
        </w:rPr>
        <w:t>“</w:t>
      </w:r>
      <w:r>
        <w:drawing>
          <wp:inline distT="0" distB="0" distL="114300" distR="114300">
            <wp:extent cx="91440" cy="128270"/>
            <wp:effectExtent l="0" t="0" r="10160" b="1143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
                    <a:stretch>
                      <a:fillRect/>
                    </a:stretch>
                  </pic:blipFill>
                  <pic:spPr>
                    <a:xfrm>
                      <a:off x="0" y="0"/>
                      <a:ext cx="91440" cy="128270"/>
                    </a:xfrm>
                    <a:prstGeom prst="rect">
                      <a:avLst/>
                    </a:prstGeom>
                    <a:noFill/>
                    <a:ln>
                      <a:noFill/>
                    </a:ln>
                  </pic:spPr>
                </pic:pic>
              </a:graphicData>
            </a:graphic>
          </wp:inline>
        </w:drawing>
      </w:r>
      <w:r>
        <w:rPr>
          <w:rFonts w:hint="eastAsia"/>
        </w:rPr>
        <w:t>”</w:t>
      </w:r>
      <w:r>
        <w:rPr>
          <w:rFonts w:hint="eastAsia"/>
          <w:lang w:eastAsia="zh-TW"/>
        </w:rPr>
        <w:t>，讀作</w:t>
      </w:r>
      <w:r>
        <w:rPr>
          <w:rFonts w:hint="eastAsia"/>
        </w:rPr>
        <w:t>“端文”</w:t>
      </w:r>
      <w:r>
        <w:rPr>
          <w:rFonts w:hint="eastAsia"/>
          <w:lang w:eastAsia="zh-TW"/>
        </w:rPr>
        <w:t>。註18李銳論文認爲“文”與“免”相通讀作“端冕”。有關“冕”這一讀法，鄔可晶</w:t>
      </w:r>
      <w:r>
        <w:rPr>
          <w:rFonts w:hint="eastAsia"/>
          <w:lang w:eastAsia="zh-CN"/>
        </w:rPr>
        <w:t>《</w:t>
      </w:r>
      <w:r>
        <w:rPr>
          <w:rFonts w:hint="eastAsia"/>
          <w:lang w:eastAsia="zh-TW"/>
        </w:rPr>
        <w:t>談〈上博（七）‧凡物流形〉甲乙本編聯及相關問題</w:t>
      </w:r>
      <w:r>
        <w:rPr>
          <w:rFonts w:hint="eastAsia"/>
          <w:lang w:eastAsia="zh-CN"/>
        </w:rPr>
        <w:t>》</w:t>
      </w:r>
      <w:r>
        <w:rPr>
          <w:rFonts w:hint="eastAsia"/>
          <w:lang w:eastAsia="zh-TW"/>
        </w:rPr>
        <w:t>（復旦大學出土文獻與古文字研究中心網，2009年1月）以不符合楚簡書寫習慣爲由予以否定。註23顧史考論文在主張簡14與簡16相接續的同時，意識到“識道”與“端</w:t>
      </w:r>
      <w:r>
        <w:drawing>
          <wp:inline distT="0" distB="0" distL="114300" distR="114300">
            <wp:extent cx="133985" cy="335280"/>
            <wp:effectExtent l="0" t="0" r="5715"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
                    <a:stretch>
                      <a:fillRect/>
                    </a:stretch>
                  </pic:blipFill>
                  <pic:spPr>
                    <a:xfrm>
                      <a:off x="0" y="0"/>
                      <a:ext cx="133985" cy="335280"/>
                    </a:xfrm>
                    <a:prstGeom prst="rect">
                      <a:avLst/>
                    </a:prstGeom>
                    <a:noFill/>
                    <a:ln>
                      <a:noFill/>
                    </a:ln>
                  </pic:spPr>
                </pic:pic>
              </a:graphicData>
            </a:graphic>
          </wp:inline>
        </w:drawing>
      </w:r>
      <w:r>
        <w:rPr>
          <w:rFonts w:hint="eastAsia"/>
          <w:lang w:eastAsia="zh-TW"/>
        </w:rPr>
        <w:t>”爲對應概念，並試圖將“端文”、“端冕”朝與“識道”意思相近的方向解釋。然而以上釋字顯然都難以與“識道”相對應。</w:t>
      </w:r>
    </w:p>
  </w:footnote>
  <w:footnote w:id="34">
    <w:p>
      <w:pPr>
        <w:rPr>
          <w:lang w:eastAsia="zh-TW"/>
        </w:rPr>
      </w:pPr>
      <w:r>
        <w:rPr>
          <w:rFonts w:hint="eastAsia"/>
        </w:rPr>
        <w:footnoteRef/>
      </w:r>
      <w:r>
        <w:rPr>
          <w:rFonts w:hint="eastAsia"/>
          <w:lang w:eastAsia="zh-TW"/>
        </w:rPr>
        <w:t xml:space="preserve"> 有關“坐不下席”，原整理者已指出可參考《文子</w:t>
      </w:r>
      <w:r>
        <w:rPr>
          <w:rFonts w:hint="eastAsia"/>
        </w:rPr>
        <w:t>・</w:t>
      </w:r>
      <w:r>
        <w:rPr>
          <w:rFonts w:hint="eastAsia"/>
          <w:lang w:eastAsia="zh-TW"/>
        </w:rPr>
        <w:t>精誠》“聖人不降席而匡天下”。“圖不與事”即雖有所圖然不參與具體之事。註24顧史考論文已指出兩句意思相近，均與“無爲”之治有關。</w:t>
      </w:r>
    </w:p>
  </w:footnote>
  <w:footnote w:id="35">
    <w:p>
      <w:pPr>
        <w:rPr>
          <w:lang w:eastAsia="zh-TW"/>
        </w:rPr>
      </w:pPr>
      <w:r>
        <w:rPr>
          <w:rFonts w:hint="eastAsia"/>
        </w:rPr>
        <w:footnoteRef/>
      </w:r>
      <w:r>
        <w:rPr>
          <w:rFonts w:hint="eastAsia"/>
        </w:rPr>
        <w:t xml:space="preserve"> 關於“一端”與“端一”可參考《管子・白心》“將欲服之、必一其端、而固其所守”。“一端”</w:t>
      </w:r>
      <w:r>
        <w:rPr>
          <w:rFonts w:hint="eastAsia"/>
          <w:lang w:eastAsia="zh-TW"/>
        </w:rPr>
        <w:t>與</w:t>
      </w:r>
      <w:r>
        <w:rPr>
          <w:rFonts w:hint="eastAsia"/>
        </w:rPr>
        <w:t>“一其端”</w:t>
      </w:r>
      <w:r>
        <w:rPr>
          <w:rFonts w:hint="eastAsia"/>
          <w:lang w:eastAsia="zh-TW"/>
        </w:rPr>
        <w:t>均有使（多）</w:t>
      </w:r>
      <w:r>
        <w:rPr>
          <w:rFonts w:hint="eastAsia"/>
        </w:rPr>
        <w:t>“端”</w:t>
      </w:r>
      <w:r>
        <w:rPr>
          <w:rFonts w:hint="eastAsia"/>
          <w:lang w:eastAsia="zh-TW"/>
        </w:rPr>
        <w:t>合而爲</w:t>
      </w:r>
      <w:r>
        <w:rPr>
          <w:rFonts w:hint="eastAsia"/>
        </w:rPr>
        <w:t>“一”</w:t>
      </w:r>
      <w:r>
        <w:rPr>
          <w:rFonts w:hint="eastAsia"/>
          <w:lang w:eastAsia="zh-TW"/>
        </w:rPr>
        <w:t>之義。而“端一”當指作爲“一端”之結果的狀態。註5曹峰論文認爲《管子</w:t>
      </w:r>
      <w:r>
        <w:rPr>
          <w:rFonts w:hint="eastAsia"/>
        </w:rPr>
        <w:t>・</w:t>
      </w:r>
      <w:r>
        <w:rPr>
          <w:rFonts w:hint="eastAsia"/>
          <w:lang w:eastAsia="zh-TW"/>
        </w:rPr>
        <w:t>心術下》的“一於心，耳目端”與“一端”之義相當，然而該篇的“端”爲“端正”之義，以之解釋“一端”或</w:t>
      </w:r>
      <w:r>
        <w:rPr>
          <w:rFonts w:hint="eastAsia"/>
          <w:lang w:eastAsia="zh-CN"/>
        </w:rPr>
        <w:t>《</w:t>
      </w:r>
      <w:r>
        <w:rPr>
          <w:rFonts w:hint="eastAsia"/>
          <w:lang w:eastAsia="zh-TW"/>
        </w:rPr>
        <w:t>白心</w:t>
      </w:r>
      <w:r>
        <w:rPr>
          <w:rFonts w:hint="eastAsia"/>
          <w:lang w:eastAsia="zh-CN"/>
        </w:rPr>
        <w:t>》</w:t>
      </w:r>
      <w:r>
        <w:rPr>
          <w:rFonts w:hint="eastAsia"/>
          <w:lang w:eastAsia="zh-TW"/>
        </w:rPr>
        <w:t>篇的“必一其端”均不通。此外，雖然文字稍有不同《春秋繁露</w:t>
      </w:r>
      <w:r>
        <w:rPr>
          <w:rFonts w:hint="eastAsia"/>
        </w:rPr>
        <w:t>・</w:t>
      </w:r>
      <w:r>
        <w:rPr>
          <w:rFonts w:hint="eastAsia"/>
          <w:lang w:eastAsia="zh-TW"/>
        </w:rPr>
        <w:t>保位權》的“執一無端”一文，即通過執一消除“（多）端”之狀態，在大意上與此部分相通。</w:t>
      </w:r>
    </w:p>
  </w:footnote>
  <w:footnote w:id="36">
    <w:p>
      <w:r>
        <w:rPr>
          <w:rFonts w:hint="eastAsia"/>
        </w:rPr>
        <w:footnoteRef/>
      </w:r>
      <w:r>
        <w:rPr>
          <w:rFonts w:hint="eastAsia"/>
          <w:lang w:eastAsia="zh-TW"/>
        </w:rPr>
        <w:t xml:space="preserve"> 曹峰</w:t>
      </w:r>
      <w:r>
        <w:rPr>
          <w:rFonts w:hint="eastAsia"/>
          <w:lang w:eastAsia="zh-CN"/>
        </w:rPr>
        <w:t>《</w:t>
      </w:r>
      <w:r>
        <w:rPr>
          <w:rFonts w:hint="eastAsia"/>
          <w:lang w:eastAsia="zh-TW"/>
        </w:rPr>
        <w:t>〈凡物流形</w:t>
      </w:r>
      <w:r>
        <w:rPr>
          <w:rFonts w:hint="eastAsia"/>
          <w:lang w:val="en-US" w:eastAsia="zh-CN"/>
        </w:rPr>
        <w:t>〉</w:t>
      </w:r>
      <w:r>
        <w:rPr>
          <w:rFonts w:hint="eastAsia"/>
          <w:lang w:eastAsia="zh-TW"/>
        </w:rPr>
        <w:t>兩處編聯的文獻驗證</w:t>
      </w:r>
      <w:r>
        <w:rPr>
          <w:rFonts w:hint="eastAsia"/>
          <w:lang w:eastAsia="zh-CN"/>
        </w:rPr>
        <w:t>》</w:t>
      </w:r>
      <w:r>
        <w:rPr>
          <w:rFonts w:hint="eastAsia"/>
          <w:lang w:eastAsia="zh-TW"/>
        </w:rPr>
        <w:t>，曹峰《近年出土黃老思想文獻研究》（北京：中國社會科學出版社，2015年），頁321。</w:t>
      </w:r>
    </w:p>
  </w:footnote>
  <w:footnote w:id="37">
    <w:p>
      <w:r>
        <w:rPr>
          <w:rFonts w:hint="eastAsia"/>
        </w:rPr>
        <w:footnoteRef/>
      </w:r>
      <w:r>
        <w:rPr>
          <w:rFonts w:hint="eastAsia"/>
          <w:lang w:eastAsia="zh-TW"/>
        </w:rPr>
        <w:t xml:space="preserve"> 關於</w:t>
      </w:r>
      <w:r>
        <w:rPr>
          <w:rFonts w:hint="eastAsia"/>
        </w:rPr>
        <w:t>“之知四海”</w:t>
      </w:r>
      <w:r>
        <w:rPr>
          <w:rFonts w:hint="eastAsia"/>
          <w:lang w:eastAsia="zh-TW"/>
        </w:rPr>
        <w:t>的</w:t>
      </w:r>
      <w:r>
        <w:rPr>
          <w:rFonts w:hint="eastAsia"/>
        </w:rPr>
        <w:t>“之”</w:t>
      </w:r>
      <w:r>
        <w:rPr>
          <w:rFonts w:hint="eastAsia"/>
          <w:lang w:eastAsia="zh-TW"/>
        </w:rPr>
        <w:t>有</w:t>
      </w:r>
      <w:r>
        <w:rPr>
          <w:rFonts w:hint="eastAsia"/>
        </w:rPr>
        <w:t>“先”</w:t>
      </w:r>
      <w:r>
        <w:rPr>
          <w:rFonts w:hint="eastAsia"/>
          <w:lang w:eastAsia="zh-TW"/>
        </w:rPr>
        <w:t>字之誤的說法（註16復旦大學讀書會論文），但從文脈來看</w:t>
      </w:r>
      <w:r>
        <w:rPr>
          <w:rFonts w:hint="eastAsia"/>
        </w:rPr>
        <w:t>“之”</w:t>
      </w:r>
      <w:r>
        <w:rPr>
          <w:rFonts w:hint="eastAsia"/>
          <w:lang w:eastAsia="zh-TW"/>
        </w:rPr>
        <w:t>字顯然與後文的</w:t>
      </w:r>
      <w:r>
        <w:rPr>
          <w:rFonts w:hint="eastAsia"/>
        </w:rPr>
        <w:t>“至”</w:t>
      </w:r>
      <w:r>
        <w:rPr>
          <w:rFonts w:hint="eastAsia"/>
          <w:lang w:eastAsia="zh-TW"/>
        </w:rPr>
        <w:t>、</w:t>
      </w:r>
      <w:r>
        <w:rPr>
          <w:rFonts w:hint="eastAsia"/>
        </w:rPr>
        <w:t>“達”</w:t>
      </w:r>
      <w:r>
        <w:rPr>
          <w:rFonts w:hint="eastAsia"/>
          <w:lang w:eastAsia="zh-TW"/>
        </w:rPr>
        <w:t>對應，三者均有</w:t>
      </w:r>
      <w:r>
        <w:rPr>
          <w:rFonts w:hint="eastAsia"/>
        </w:rPr>
        <w:t>“往”</w:t>
      </w:r>
      <w:r>
        <w:rPr>
          <w:rFonts w:hint="eastAsia"/>
          <w:lang w:eastAsia="zh-TW"/>
        </w:rPr>
        <w:t>、</w:t>
      </w:r>
      <w:r>
        <w:rPr>
          <w:rFonts w:hint="eastAsia"/>
        </w:rPr>
        <w:t>“到”</w:t>
      </w:r>
      <w:r>
        <w:rPr>
          <w:rFonts w:hint="eastAsia"/>
          <w:lang w:eastAsia="zh-TW"/>
        </w:rPr>
        <w:t>之義。</w:t>
      </w:r>
    </w:p>
  </w:footnote>
  <w:footnote w:id="38">
    <w:p>
      <w:r>
        <w:rPr>
          <w:rFonts w:hint="eastAsia"/>
        </w:rPr>
        <w:footnoteRef/>
      </w:r>
      <w:r>
        <w:rPr>
          <w:rFonts w:hint="eastAsia"/>
          <w:lang w:eastAsia="zh-TW"/>
        </w:rPr>
        <w:t xml:space="preserve"> 從</w:t>
      </w:r>
      <w:r>
        <w:rPr>
          <w:rFonts w:hint="eastAsia"/>
        </w:rPr>
        <w:t>“大之以知天下，小之以治邦”</w:t>
      </w:r>
      <w:r>
        <w:rPr>
          <w:rFonts w:hint="eastAsia"/>
          <w:lang w:eastAsia="zh-TW"/>
        </w:rPr>
        <w:t>以</w:t>
      </w:r>
      <w:r>
        <w:rPr>
          <w:rFonts w:hint="eastAsia"/>
        </w:rPr>
        <w:t>“知天下”</w:t>
      </w:r>
      <w:r>
        <w:rPr>
          <w:rFonts w:hint="eastAsia"/>
          <w:lang w:eastAsia="zh-TW"/>
        </w:rPr>
        <w:t>爲</w:t>
      </w:r>
      <w:r>
        <w:rPr>
          <w:rFonts w:hint="eastAsia"/>
        </w:rPr>
        <w:t>“大”</w:t>
      </w:r>
      <w:r>
        <w:rPr>
          <w:rFonts w:hint="eastAsia"/>
          <w:lang w:eastAsia="zh-TW"/>
        </w:rPr>
        <w:t>，以</w:t>
      </w:r>
      <w:r>
        <w:rPr>
          <w:rFonts w:hint="eastAsia"/>
        </w:rPr>
        <w:t>“治邦”</w:t>
      </w:r>
      <w:r>
        <w:rPr>
          <w:rFonts w:hint="eastAsia"/>
          <w:lang w:eastAsia="zh-TW"/>
        </w:rPr>
        <w:t>爲</w:t>
      </w:r>
      <w:r>
        <w:rPr>
          <w:rFonts w:hint="eastAsia"/>
        </w:rPr>
        <w:t>“小”</w:t>
      </w:r>
      <w:r>
        <w:rPr>
          <w:rFonts w:hint="eastAsia"/>
          <w:lang w:eastAsia="zh-TW"/>
        </w:rPr>
        <w:t>以及</w:t>
      </w:r>
      <w:r>
        <w:rPr>
          <w:rFonts w:hint="eastAsia"/>
        </w:rPr>
        <w:t>“遠之施【簡13a】天，近之施人【簡12b】”</w:t>
      </w:r>
      <w:r>
        <w:rPr>
          <w:rFonts w:hint="eastAsia"/>
          <w:lang w:eastAsia="zh-TW"/>
        </w:rPr>
        <w:t>以</w:t>
      </w:r>
      <w:r>
        <w:rPr>
          <w:rFonts w:hint="eastAsia"/>
        </w:rPr>
        <w:t>“施天”</w:t>
      </w:r>
      <w:r>
        <w:rPr>
          <w:rFonts w:hint="eastAsia"/>
          <w:lang w:eastAsia="zh-TW"/>
        </w:rPr>
        <w:t>爲</w:t>
      </w:r>
      <w:r>
        <w:rPr>
          <w:rFonts w:hint="eastAsia"/>
        </w:rPr>
        <w:t>“遠”</w:t>
      </w:r>
      <w:r>
        <w:rPr>
          <w:rFonts w:hint="eastAsia"/>
          <w:lang w:eastAsia="zh-TW"/>
        </w:rPr>
        <w:t>，以</w:t>
      </w:r>
      <w:r>
        <w:rPr>
          <w:rFonts w:hint="eastAsia"/>
        </w:rPr>
        <w:t>“施人”</w:t>
      </w:r>
      <w:r>
        <w:rPr>
          <w:rFonts w:hint="eastAsia"/>
          <w:lang w:eastAsia="zh-TW"/>
        </w:rPr>
        <w:t>爲</w:t>
      </w:r>
      <w:r>
        <w:rPr>
          <w:rFonts w:hint="eastAsia"/>
        </w:rPr>
        <w:t>“近”</w:t>
      </w:r>
      <w:r>
        <w:rPr>
          <w:rFonts w:hint="eastAsia"/>
          <w:lang w:eastAsia="zh-TW"/>
        </w:rPr>
        <w:t>可知，《凡物流形》包含了與知天下自然之事相比治國更爲簡單，能知天下自然之事自可治國之觀念。</w:t>
      </w:r>
    </w:p>
  </w:footnote>
  <w:footnote w:id="39">
    <w:p>
      <w:r>
        <w:rPr>
          <w:rFonts w:hint="eastAsia"/>
        </w:rPr>
        <w:footnoteRef/>
      </w:r>
      <w:r>
        <w:rPr>
          <w:rFonts w:hint="eastAsia"/>
          <w:lang w:eastAsia="zh-TW"/>
        </w:rPr>
        <w:t xml:space="preserve"> 註9廖名春論文認爲此處的</w:t>
      </w:r>
      <w:r>
        <w:rPr>
          <w:rFonts w:hint="eastAsia"/>
        </w:rPr>
        <w:t>“五”</w:t>
      </w:r>
      <w:r>
        <w:rPr>
          <w:rFonts w:hint="eastAsia"/>
          <w:lang w:eastAsia="zh-TW"/>
        </w:rPr>
        <w:t>與</w:t>
      </w:r>
      <w:r>
        <w:rPr>
          <w:rFonts w:hint="eastAsia"/>
        </w:rPr>
        <w:t>“九”</w:t>
      </w:r>
      <w:r>
        <w:rPr>
          <w:rFonts w:hint="eastAsia"/>
          <w:lang w:eastAsia="zh-TW"/>
        </w:rPr>
        <w:t>均爲虚數，爲</w:t>
      </w:r>
      <w:r>
        <w:rPr>
          <w:rFonts w:hint="eastAsia"/>
        </w:rPr>
        <w:t>“多”</w:t>
      </w:r>
      <w:r>
        <w:rPr>
          <w:rFonts w:hint="eastAsia"/>
          <w:lang w:eastAsia="zh-TW"/>
        </w:rPr>
        <w:t>之義。</w:t>
      </w:r>
    </w:p>
  </w:footnote>
  <w:footnote w:id="40">
    <w:p>
      <w:pPr>
        <w:rPr>
          <w:lang w:eastAsia="zh-TW"/>
        </w:rPr>
      </w:pPr>
      <w:r>
        <w:rPr>
          <w:rFonts w:hint="eastAsia"/>
        </w:rPr>
        <w:footnoteRef/>
      </w:r>
      <w:r>
        <w:rPr>
          <w:rFonts w:hint="eastAsia"/>
          <w:lang w:eastAsia="zh-TW"/>
        </w:rPr>
        <w:t xml:space="preserve"> </w:t>
      </w:r>
      <w:r>
        <w:rPr>
          <w:rFonts w:hint="eastAsia"/>
        </w:rPr>
        <w:t>“至靜”</w:t>
      </w:r>
      <w:r>
        <w:rPr>
          <w:rFonts w:hint="eastAsia"/>
          <w:lang w:eastAsia="zh-TW"/>
        </w:rPr>
        <w:t>章以</w:t>
      </w:r>
      <w:r>
        <w:rPr>
          <w:rFonts w:hint="eastAsia"/>
        </w:rPr>
        <w:t>“靜”</w:t>
      </w:r>
      <w:r>
        <w:rPr>
          <w:rFonts w:hint="eastAsia"/>
          <w:lang w:eastAsia="zh-TW"/>
        </w:rPr>
        <w:t>爲認識</w:t>
      </w:r>
      <w:r>
        <w:rPr>
          <w:rFonts w:hint="eastAsia"/>
        </w:rPr>
        <w:t>“復”</w:t>
      </w:r>
      <w:r>
        <w:rPr>
          <w:rFonts w:hint="eastAsia"/>
          <w:lang w:eastAsia="zh-TW"/>
        </w:rPr>
        <w:t>的前提，此當爲作者有意將作爲</w:t>
      </w:r>
      <w:r>
        <w:rPr>
          <w:rFonts w:hint="eastAsia"/>
        </w:rPr>
        <w:t>“復”</w:t>
      </w:r>
      <w:r>
        <w:rPr>
          <w:rFonts w:hint="eastAsia"/>
          <w:lang w:eastAsia="zh-TW"/>
        </w:rPr>
        <w:t>的根源的</w:t>
      </w:r>
      <w:r>
        <w:rPr>
          <w:rFonts w:hint="eastAsia"/>
        </w:rPr>
        <w:t>“一”</w:t>
      </w:r>
      <w:r>
        <w:rPr>
          <w:rFonts w:hint="eastAsia"/>
          <w:lang w:eastAsia="zh-TW"/>
        </w:rPr>
        <w:t>與</w:t>
      </w:r>
      <w:r>
        <w:rPr>
          <w:rFonts w:hint="eastAsia"/>
        </w:rPr>
        <w:t>“靜”</w:t>
      </w:r>
      <w:r>
        <w:rPr>
          <w:rFonts w:hint="eastAsia"/>
          <w:lang w:eastAsia="zh-TW"/>
        </w:rPr>
        <w:t>結合在了一起。然而，單憑該章內容並無法明確作爲“復”之根源的“一”是如何與“靜”相結合的。此外，現存的《凡物流形》文本沒有生成論的“一”與“靜”結合相關的內容。</w:t>
      </w:r>
    </w:p>
  </w:footnote>
  <w:footnote w:id="41">
    <w:p>
      <w:pPr>
        <w:rPr>
          <w:lang w:eastAsia="zh-TW"/>
        </w:rPr>
      </w:pPr>
      <w:r>
        <w:rPr>
          <w:rFonts w:hint="eastAsia"/>
        </w:rPr>
        <w:footnoteRef/>
      </w:r>
      <w:r>
        <w:rPr>
          <w:rFonts w:hint="eastAsia"/>
          <w:lang w:eastAsia="zh-TW"/>
        </w:rPr>
        <w:t xml:space="preserve"> 池田知久認爲，在《老子》及其他道家系文獻中</w:t>
      </w:r>
      <w:r>
        <w:rPr>
          <w:rFonts w:hint="eastAsia"/>
        </w:rPr>
        <w:t>“存在因</w:t>
      </w:r>
      <w:r>
        <w:rPr>
          <w:rFonts w:hint="eastAsia"/>
          <w:lang w:eastAsia="zh-CN"/>
        </w:rPr>
        <w:t>‘</w:t>
      </w:r>
      <w:r>
        <w:rPr>
          <w:rFonts w:hint="eastAsia"/>
        </w:rPr>
        <w:t>道</w:t>
      </w:r>
      <w:r>
        <w:rPr>
          <w:rFonts w:hint="eastAsia"/>
          <w:lang w:eastAsia="zh-CN"/>
        </w:rPr>
        <w:t>’</w:t>
      </w:r>
      <w:r>
        <w:rPr>
          <w:rFonts w:hint="eastAsia"/>
          <w:lang w:eastAsia="zh-TW"/>
        </w:rPr>
        <w:t>、</w:t>
      </w:r>
      <w:r>
        <w:rPr>
          <w:rFonts w:hint="eastAsia"/>
          <w:lang w:eastAsia="zh-CN"/>
        </w:rPr>
        <w:t>‘</w:t>
      </w:r>
      <w:r>
        <w:rPr>
          <w:rFonts w:hint="eastAsia"/>
        </w:rPr>
        <w:t>聖人</w:t>
      </w:r>
      <w:r>
        <w:rPr>
          <w:rFonts w:hint="eastAsia"/>
          <w:lang w:eastAsia="zh-CN"/>
        </w:rPr>
        <w:t>’</w:t>
      </w:r>
      <w:r>
        <w:rPr>
          <w:rFonts w:hint="eastAsia"/>
          <w:lang w:eastAsia="zh-TW"/>
        </w:rPr>
        <w:t>的</w:t>
      </w:r>
      <w:r>
        <w:rPr>
          <w:rFonts w:hint="eastAsia"/>
          <w:lang w:eastAsia="zh-CN"/>
        </w:rPr>
        <w:t>‘</w:t>
      </w:r>
      <w:r>
        <w:rPr>
          <w:rFonts w:hint="eastAsia"/>
        </w:rPr>
        <w:t>無爲</w:t>
      </w:r>
      <w:r>
        <w:rPr>
          <w:rFonts w:hint="eastAsia"/>
          <w:lang w:eastAsia="zh-CN"/>
        </w:rPr>
        <w:t>’</w:t>
      </w:r>
      <w:r>
        <w:rPr>
          <w:rFonts w:hint="eastAsia"/>
          <w:lang w:eastAsia="zh-TW"/>
        </w:rPr>
        <w:t>而來的</w:t>
      </w:r>
      <w:r>
        <w:rPr>
          <w:rFonts w:hint="eastAsia"/>
          <w:lang w:eastAsia="zh-CN"/>
        </w:rPr>
        <w:t>‘</w:t>
      </w:r>
      <w:r>
        <w:rPr>
          <w:rFonts w:hint="eastAsia"/>
        </w:rPr>
        <w:t>萬物</w:t>
      </w:r>
      <w:r>
        <w:rPr>
          <w:rFonts w:hint="eastAsia"/>
          <w:lang w:eastAsia="zh-CN"/>
        </w:rPr>
        <w:t>’‘</w:t>
      </w:r>
      <w:r>
        <w:rPr>
          <w:rFonts w:hint="eastAsia"/>
        </w:rPr>
        <w:t>百姓</w:t>
      </w:r>
      <w:r>
        <w:rPr>
          <w:rFonts w:hint="eastAsia"/>
          <w:lang w:eastAsia="zh-CN"/>
        </w:rPr>
        <w:t>’</w:t>
      </w:r>
      <w:r>
        <w:rPr>
          <w:rFonts w:hint="eastAsia"/>
          <w:lang w:eastAsia="zh-TW"/>
        </w:rPr>
        <w:t>的</w:t>
      </w:r>
      <w:r>
        <w:rPr>
          <w:rFonts w:hint="eastAsia"/>
          <w:lang w:eastAsia="zh-CN"/>
        </w:rPr>
        <w:t>‘</w:t>
      </w:r>
      <w:r>
        <w:rPr>
          <w:rFonts w:hint="eastAsia"/>
        </w:rPr>
        <w:t>自行</w:t>
      </w:r>
      <w:r>
        <w:rPr>
          <w:rFonts w:hint="eastAsia"/>
          <w:lang w:eastAsia="zh-CN"/>
        </w:rPr>
        <w:t>’</w:t>
      </w:r>
      <w:r>
        <w:rPr>
          <w:rFonts w:hint="eastAsia"/>
          <w:lang w:eastAsia="zh-TW"/>
        </w:rPr>
        <w:t>運動變化，即</w:t>
      </w:r>
      <w:r>
        <w:rPr>
          <w:rFonts w:hint="eastAsia"/>
          <w:lang w:eastAsia="zh-CN"/>
        </w:rPr>
        <w:t>‘</w:t>
      </w:r>
      <w:r>
        <w:rPr>
          <w:rFonts w:hint="eastAsia"/>
        </w:rPr>
        <w:t>主體→客體、原因→結果</w:t>
      </w:r>
      <w:r>
        <w:rPr>
          <w:rFonts w:hint="eastAsia"/>
          <w:lang w:eastAsia="zh-CN"/>
        </w:rPr>
        <w:t>’</w:t>
      </w:r>
      <w:r>
        <w:rPr>
          <w:rFonts w:hint="eastAsia"/>
          <w:lang w:eastAsia="zh-TW"/>
        </w:rPr>
        <w:t>的思考模式</w:t>
      </w:r>
      <w:r>
        <w:rPr>
          <w:rFonts w:hint="eastAsia"/>
          <w:lang w:eastAsia="zh-CN"/>
        </w:rPr>
        <w:t>”</w:t>
      </w:r>
      <w:r>
        <w:rPr>
          <w:rFonts w:hint="eastAsia"/>
          <w:lang w:eastAsia="zh-TW"/>
        </w:rPr>
        <w:t>。見池田知久，</w:t>
      </w:r>
      <w:r>
        <w:rPr>
          <w:rFonts w:hint="eastAsia"/>
          <w:lang w:eastAsia="zh-CN"/>
        </w:rPr>
        <w:t>《</w:t>
      </w:r>
      <w:r>
        <w:rPr>
          <w:rFonts w:hint="eastAsia"/>
          <w:lang w:eastAsia="zh-TW"/>
        </w:rPr>
        <w:t>〈老子〉</w:t>
      </w:r>
      <w:r>
        <w:rPr>
          <w:rFonts w:hint="eastAsia"/>
        </w:rPr>
        <w:t>における</w:t>
      </w:r>
      <w:r>
        <w:rPr>
          <w:rFonts w:hint="eastAsia"/>
          <w:lang w:eastAsia="zh-TW"/>
        </w:rPr>
        <w:t>主體</w:t>
      </w:r>
      <w:r>
        <w:rPr>
          <w:rFonts w:hint="eastAsia"/>
        </w:rPr>
        <w:t>の</w:t>
      </w:r>
      <w:r>
        <w:rPr>
          <w:rFonts w:hint="eastAsia"/>
          <w:lang w:eastAsia="zh-TW"/>
        </w:rPr>
        <w:t>“無爲”</w:t>
      </w:r>
      <w:r>
        <w:rPr>
          <w:rFonts w:hint="eastAsia"/>
        </w:rPr>
        <w:t>と</w:t>
      </w:r>
      <w:r>
        <w:rPr>
          <w:rFonts w:hint="eastAsia"/>
          <w:lang w:eastAsia="zh-TW"/>
        </w:rPr>
        <w:t>客體</w:t>
      </w:r>
      <w:r>
        <w:rPr>
          <w:rFonts w:hint="eastAsia"/>
        </w:rPr>
        <w:t>の</w:t>
      </w:r>
      <w:r>
        <w:rPr>
          <w:rFonts w:hint="eastAsia"/>
          <w:lang w:eastAsia="zh-TW"/>
        </w:rPr>
        <w:t>“自然”</w:t>
      </w:r>
      <w:r>
        <w:rPr>
          <w:rFonts w:hint="eastAsia"/>
          <w:lang w:eastAsia="zh-CN"/>
        </w:rPr>
        <w:t>》</w:t>
      </w:r>
      <w:r>
        <w:rPr>
          <w:rFonts w:hint="eastAsia"/>
          <w:lang w:eastAsia="zh-TW"/>
        </w:rPr>
        <w:t>，《道家思想</w:t>
      </w:r>
      <w:r>
        <w:rPr>
          <w:rFonts w:hint="eastAsia"/>
        </w:rPr>
        <w:t>の</w:t>
      </w:r>
      <w:r>
        <w:rPr>
          <w:rFonts w:hint="eastAsia"/>
          <w:lang w:eastAsia="zh-TW"/>
        </w:rPr>
        <w:t>新研究</w:t>
      </w:r>
      <w:r>
        <w:rPr>
          <w:rFonts w:hint="eastAsia"/>
          <w:lang w:eastAsia="zh-CN"/>
        </w:rPr>
        <w:t>——</w:t>
      </w:r>
      <w:r>
        <w:rPr>
          <w:rFonts w:hint="eastAsia"/>
          <w:lang w:val="en-US" w:eastAsia="zh-CN"/>
        </w:rPr>
        <w:t>〈</w:t>
      </w:r>
      <w:r>
        <w:rPr>
          <w:rFonts w:hint="eastAsia"/>
          <w:lang w:eastAsia="zh-TW"/>
        </w:rPr>
        <w:t>莊子</w:t>
      </w:r>
      <w:r>
        <w:rPr>
          <w:rFonts w:hint="eastAsia"/>
          <w:lang w:val="en-US" w:eastAsia="zh-CN"/>
        </w:rPr>
        <w:t>〉</w:t>
      </w:r>
      <w:r>
        <w:rPr>
          <w:rFonts w:hint="eastAsia"/>
        </w:rPr>
        <w:t>を</w:t>
      </w:r>
      <w:r>
        <w:rPr>
          <w:rFonts w:hint="eastAsia"/>
          <w:lang w:eastAsia="zh-TW"/>
        </w:rPr>
        <w:t>中心</w:t>
      </w:r>
      <w:r>
        <w:rPr>
          <w:rFonts w:hint="eastAsia"/>
        </w:rPr>
        <w:t>に</w:t>
      </w:r>
      <w:r>
        <w:rPr>
          <w:rFonts w:hint="eastAsia"/>
          <w:lang w:eastAsia="zh-TW"/>
        </w:rPr>
        <w:t>》（東京：汲古書院，2009年），頁625-631。</w:t>
      </w:r>
    </w:p>
  </w:footnote>
  <w:footnote w:id="42">
    <w:p>
      <w:pPr>
        <w:pStyle w:val="22"/>
        <w:snapToGrid w:val="0"/>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footnoteRef/>
      </w:r>
      <w:r>
        <w:rPr>
          <w:rFonts w:hint="eastAsia" w:ascii="宋体" w:hAnsi="宋体" w:eastAsia="宋体" w:cs="Times New Roman"/>
          <w:kern w:val="2"/>
          <w:sz w:val="24"/>
          <w:szCs w:val="22"/>
          <w:lang w:val="en-US" w:eastAsia="zh-CN" w:bidi="ar-SA"/>
        </w:rPr>
        <w:t xml:space="preserve"> </w:t>
      </w:r>
      <w:r>
        <w:rPr>
          <w:rFonts w:hint="eastAsia" w:ascii="宋体" w:hAnsi="宋体" w:eastAsia="宋体" w:cs="Times New Roman"/>
          <w:kern w:val="2"/>
          <w:sz w:val="24"/>
          <w:szCs w:val="22"/>
          <w:lang w:val="en-US" w:eastAsia="zh-TW" w:bidi="ar-SA"/>
        </w:rPr>
        <w:t>關於甲本簡20</w:t>
      </w:r>
      <w:r>
        <w:rPr>
          <w:rFonts w:hint="eastAsia" w:ascii="宋体" w:hAnsi="宋体" w:eastAsia="宋体" w:cs="Times New Roman"/>
          <w:kern w:val="2"/>
          <w:sz w:val="24"/>
          <w:szCs w:val="22"/>
          <w:lang w:val="en-US" w:eastAsia="zh-CN" w:bidi="ar-SA"/>
        </w:rPr>
        <w:t>“</w:t>
      </w:r>
      <w:r>
        <w:rPr>
          <w:rFonts w:hint="eastAsia" w:ascii="宋体" w:hAnsi="宋体" w:eastAsia="宋体" w:cs="Times New Roman"/>
          <w:kern w:val="2"/>
          <w:sz w:val="24"/>
          <w:szCs w:val="22"/>
          <w:lang w:val="en-US" w:eastAsia="zh-CN" w:bidi="ar-SA"/>
        </w:rPr>
        <w:drawing>
          <wp:inline distT="0" distB="0" distL="114300" distR="114300">
            <wp:extent cx="107950" cy="279400"/>
            <wp:effectExtent l="0" t="0" r="6350" b="0"/>
            <wp:docPr id="14"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3"/>
                    <pic:cNvPicPr>
                      <a:picLocks noChangeAspect="1"/>
                    </pic:cNvPicPr>
                  </pic:nvPicPr>
                  <pic:blipFill>
                    <a:blip r:embed="rId3"/>
                    <a:stretch>
                      <a:fillRect/>
                    </a:stretch>
                  </pic:blipFill>
                  <pic:spPr>
                    <a:xfrm>
                      <a:off x="0" y="0"/>
                      <a:ext cx="107950" cy="279400"/>
                    </a:xfrm>
                    <a:prstGeom prst="rect">
                      <a:avLst/>
                    </a:prstGeom>
                    <a:noFill/>
                    <a:ln>
                      <a:noFill/>
                    </a:ln>
                  </pic:spPr>
                </pic:pic>
              </a:graphicData>
            </a:graphic>
          </wp:inline>
        </w:drawing>
      </w:r>
      <w:r>
        <w:rPr>
          <w:rFonts w:hint="eastAsia" w:ascii="宋体" w:hAnsi="宋体" w:eastAsia="宋体" w:cs="Times New Roman"/>
          <w:kern w:val="2"/>
          <w:sz w:val="24"/>
          <w:szCs w:val="22"/>
          <w:lang w:val="en-US" w:eastAsia="zh-CN" w:bidi="ar-SA"/>
        </w:rPr>
        <w:t>”</w:t>
      </w:r>
      <w:r>
        <w:rPr>
          <w:rFonts w:hint="eastAsia" w:ascii="宋体" w:hAnsi="宋体" w:eastAsia="宋体" w:cs="Times New Roman"/>
          <w:kern w:val="2"/>
          <w:sz w:val="24"/>
          <w:szCs w:val="22"/>
          <w:lang w:val="en-US" w:eastAsia="zh-TW" w:bidi="ar-SA"/>
        </w:rPr>
        <w:t>字及乙本簡14</w:t>
      </w:r>
      <w:r>
        <w:rPr>
          <w:rFonts w:hint="eastAsia" w:ascii="宋体" w:hAnsi="宋体" w:eastAsia="宋体" w:cs="Times New Roman"/>
          <w:kern w:val="2"/>
          <w:sz w:val="24"/>
          <w:szCs w:val="22"/>
          <w:lang w:val="en-US" w:eastAsia="zh-CN" w:bidi="ar-SA"/>
        </w:rPr>
        <w:t>“</w:t>
      </w:r>
      <w:r>
        <w:rPr>
          <w:rFonts w:hint="eastAsia" w:ascii="宋体" w:hAnsi="宋体" w:eastAsia="宋体" w:cs="Times New Roman"/>
          <w:kern w:val="2"/>
          <w:sz w:val="24"/>
          <w:szCs w:val="22"/>
          <w:lang w:val="en-US" w:eastAsia="zh-CN" w:bidi="ar-SA"/>
        </w:rPr>
        <w:drawing>
          <wp:inline distT="0" distB="0" distL="114300" distR="114300">
            <wp:extent cx="139700" cy="228600"/>
            <wp:effectExtent l="0" t="0" r="0" b="0"/>
            <wp:docPr id="12" name="图片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88"/>
                    <pic:cNvPicPr>
                      <a:picLocks noChangeAspect="1"/>
                    </pic:cNvPicPr>
                  </pic:nvPicPr>
                  <pic:blipFill>
                    <a:blip r:embed="rId4"/>
                    <a:stretch>
                      <a:fillRect/>
                    </a:stretch>
                  </pic:blipFill>
                  <pic:spPr>
                    <a:xfrm>
                      <a:off x="0" y="0"/>
                      <a:ext cx="139700" cy="228600"/>
                    </a:xfrm>
                    <a:prstGeom prst="rect">
                      <a:avLst/>
                    </a:prstGeom>
                    <a:noFill/>
                    <a:ln>
                      <a:noFill/>
                    </a:ln>
                  </pic:spPr>
                </pic:pic>
              </a:graphicData>
            </a:graphic>
          </wp:inline>
        </w:drawing>
      </w:r>
      <w:r>
        <w:rPr>
          <w:rFonts w:hint="eastAsia" w:ascii="宋体" w:hAnsi="宋体" w:eastAsia="宋体" w:cs="Times New Roman"/>
          <w:kern w:val="2"/>
          <w:sz w:val="24"/>
          <w:szCs w:val="22"/>
          <w:lang w:val="en-US" w:eastAsia="zh-CN" w:bidi="ar-SA"/>
        </w:rPr>
        <w:t>”</w:t>
      </w:r>
      <w:r>
        <w:rPr>
          <w:rFonts w:hint="eastAsia" w:ascii="宋体" w:hAnsi="宋体" w:eastAsia="宋体" w:cs="Times New Roman"/>
          <w:kern w:val="2"/>
          <w:sz w:val="24"/>
          <w:szCs w:val="22"/>
          <w:lang w:val="en-US" w:eastAsia="zh-TW" w:bidi="ar-SA"/>
        </w:rPr>
        <w:t>字，原整理者隸定爲</w:t>
      </w:r>
      <w:r>
        <w:rPr>
          <w:rFonts w:hint="eastAsia" w:ascii="宋体" w:hAnsi="宋体" w:eastAsia="宋体" w:cs="Times New Roman"/>
          <w:kern w:val="2"/>
          <w:sz w:val="24"/>
          <w:szCs w:val="22"/>
          <w:lang w:val="en-US" w:eastAsia="zh-CN" w:bidi="ar-SA"/>
        </w:rPr>
        <w:t>“</w:t>
      </w:r>
      <w:r>
        <w:rPr>
          <w:rFonts w:hint="eastAsia" w:ascii="宋体" w:hAnsi="宋体" w:eastAsia="宋体" w:cs="Times New Roman"/>
          <w:kern w:val="2"/>
          <w:sz w:val="24"/>
          <w:szCs w:val="22"/>
          <w:lang w:val="en-US" w:eastAsia="zh-TW" w:bidi="ar-SA"/>
        </w:rPr>
        <w:t>禾</w:t>
      </w:r>
      <w:r>
        <w:rPr>
          <w:rFonts w:hint="eastAsia" w:ascii="宋体" w:hAnsi="宋体" w:eastAsia="宋体" w:cs="Times New Roman"/>
          <w:kern w:val="2"/>
          <w:sz w:val="24"/>
          <w:szCs w:val="22"/>
          <w:lang w:val="en-US" w:eastAsia="zh-CN" w:bidi="ar-SA"/>
        </w:rPr>
        <w:t>”</w:t>
      </w:r>
      <w:r>
        <w:rPr>
          <w:rFonts w:hint="eastAsia" w:ascii="宋体" w:hAnsi="宋体" w:eastAsia="宋体" w:cs="Times New Roman"/>
          <w:kern w:val="2"/>
          <w:sz w:val="24"/>
          <w:szCs w:val="22"/>
          <w:lang w:val="en-US" w:eastAsia="zh-TW" w:bidi="ar-SA"/>
        </w:rPr>
        <w:t>。</w:t>
      </w:r>
      <w:r>
        <w:rPr>
          <w:rFonts w:hint="eastAsia" w:ascii="宋体" w:hAnsi="宋体" w:eastAsia="宋体" w:cs="Times New Roman"/>
          <w:kern w:val="2"/>
          <w:sz w:val="24"/>
          <w:szCs w:val="22"/>
          <w:lang w:val="en-US" w:eastAsia="zh-CN" w:bidi="ar-SA"/>
        </w:rPr>
        <w:t>宋華強《</w:t>
      </w:r>
      <w:r>
        <w:rPr>
          <w:rFonts w:hint="eastAsia" w:ascii="宋体" w:hAnsi="宋体" w:eastAsia="宋体" w:cs="Times New Roman"/>
          <w:kern w:val="2"/>
          <w:sz w:val="24"/>
          <w:szCs w:val="22"/>
          <w:lang w:val="en-US" w:eastAsia="zh-CN" w:bidi="ar-SA"/>
        </w:rPr>
        <w:t>〈</w:t>
      </w:r>
      <w:r>
        <w:rPr>
          <w:rFonts w:hint="eastAsia" w:ascii="宋体" w:hAnsi="宋体" w:eastAsia="宋体" w:cs="Times New Roman"/>
          <w:kern w:val="2"/>
          <w:sz w:val="24"/>
          <w:szCs w:val="22"/>
          <w:lang w:val="en-US" w:eastAsia="zh-CN" w:bidi="ar-SA"/>
        </w:rPr>
        <w:t>上博（七）・凡物流形</w:t>
      </w:r>
      <w:r>
        <w:rPr>
          <w:rFonts w:hint="eastAsia" w:ascii="宋体" w:hAnsi="宋体" w:eastAsia="宋体" w:cs="Times New Roman"/>
          <w:kern w:val="2"/>
          <w:sz w:val="24"/>
          <w:szCs w:val="22"/>
          <w:lang w:val="en-US" w:eastAsia="zh-CN" w:bidi="ar-SA"/>
        </w:rPr>
        <w:t>〉</w:t>
      </w:r>
      <w:r>
        <w:rPr>
          <w:rFonts w:hint="eastAsia" w:ascii="宋体" w:hAnsi="宋体" w:eastAsia="宋体" w:cs="Times New Roman"/>
          <w:kern w:val="2"/>
          <w:sz w:val="24"/>
          <w:szCs w:val="22"/>
          <w:lang w:val="en-US" w:eastAsia="zh-CN" w:bidi="ar-SA"/>
        </w:rPr>
        <w:t>散札</w:t>
      </w:r>
      <w:r>
        <w:rPr>
          <w:rFonts w:hint="eastAsia" w:ascii="宋体" w:hAnsi="宋体" w:eastAsia="宋体" w:cs="Times New Roman"/>
          <w:kern w:val="2"/>
          <w:sz w:val="24"/>
          <w:szCs w:val="22"/>
          <w:lang w:val="en-US" w:eastAsia="zh-CN" w:bidi="ar-SA"/>
        </w:rPr>
        <w:t>》</w:t>
      </w:r>
      <w:r>
        <w:rPr>
          <w:rFonts w:hint="eastAsia" w:ascii="宋体" w:hAnsi="宋体" w:eastAsia="宋体" w:cs="Times New Roman"/>
          <w:kern w:val="2"/>
          <w:sz w:val="24"/>
          <w:szCs w:val="22"/>
          <w:lang w:val="en-US" w:eastAsia="zh-CN" w:bidi="ar-SA"/>
        </w:rPr>
        <w:t>（簡帛網，2009年1月）讚同原整理者意見讀作“和”。</w:t>
      </w:r>
      <w:r>
        <w:rPr>
          <w:rFonts w:hint="eastAsia" w:ascii="宋体" w:hAnsi="宋体" w:eastAsia="宋体" w:cs="Times New Roman"/>
          <w:kern w:val="2"/>
          <w:sz w:val="24"/>
          <w:szCs w:val="22"/>
          <w:lang w:val="en-US" w:eastAsia="zh-TW" w:bidi="ar-SA"/>
        </w:rPr>
        <w:t>此外，註15復旦大學讀書會論文認爲該字爲</w:t>
      </w:r>
      <w:r>
        <w:rPr>
          <w:rFonts w:hint="eastAsia" w:ascii="宋体" w:hAnsi="宋体" w:eastAsia="宋体" w:cs="Times New Roman"/>
          <w:kern w:val="2"/>
          <w:sz w:val="24"/>
          <w:szCs w:val="22"/>
          <w:lang w:val="en-US" w:eastAsia="zh-CN" w:bidi="ar-SA"/>
        </w:rPr>
        <w:t>“</w:t>
      </w:r>
      <w:r>
        <w:rPr>
          <w:rFonts w:hint="eastAsia" w:ascii="宋体" w:hAnsi="宋体" w:eastAsia="宋体" w:cs="Times New Roman"/>
          <w:kern w:val="2"/>
          <w:sz w:val="24"/>
          <w:szCs w:val="22"/>
          <w:lang w:val="en-US" w:eastAsia="zh-TW" w:bidi="ar-SA"/>
        </w:rPr>
        <w:t>夂</w:t>
      </w:r>
      <w:r>
        <w:rPr>
          <w:rFonts w:hint="eastAsia" w:ascii="宋体" w:hAnsi="宋体" w:eastAsia="宋体" w:cs="Times New Roman"/>
          <w:kern w:val="2"/>
          <w:sz w:val="24"/>
          <w:szCs w:val="22"/>
          <w:lang w:val="en-US" w:eastAsia="zh-CN" w:bidi="ar-SA"/>
        </w:rPr>
        <w:t>”</w:t>
      </w:r>
      <w:r>
        <w:rPr>
          <w:rFonts w:hint="eastAsia" w:ascii="宋体" w:hAnsi="宋体" w:eastAsia="宋体" w:cs="Times New Roman"/>
          <w:kern w:val="2"/>
          <w:sz w:val="24"/>
          <w:szCs w:val="22"/>
          <w:lang w:val="en-US" w:eastAsia="zh-TW" w:bidi="ar-SA"/>
        </w:rPr>
        <w:t>的錯字，讀作</w:t>
      </w:r>
      <w:r>
        <w:rPr>
          <w:rFonts w:hint="eastAsia" w:ascii="宋体" w:hAnsi="宋体" w:eastAsia="宋体" w:cs="Times New Roman"/>
          <w:kern w:val="2"/>
          <w:sz w:val="24"/>
          <w:szCs w:val="22"/>
          <w:lang w:val="en-US" w:eastAsia="zh-CN" w:bidi="ar-SA"/>
        </w:rPr>
        <w:t>“</w:t>
      </w:r>
      <w:r>
        <w:rPr>
          <w:rFonts w:hint="eastAsia" w:ascii="宋体" w:hAnsi="宋体" w:eastAsia="宋体" w:cs="Times New Roman"/>
          <w:kern w:val="2"/>
          <w:sz w:val="24"/>
          <w:szCs w:val="22"/>
          <w:lang w:val="en-US" w:eastAsia="zh-TW" w:bidi="ar-SA"/>
        </w:rPr>
        <w:t>終</w:t>
      </w:r>
      <w:r>
        <w:rPr>
          <w:rFonts w:hint="eastAsia" w:ascii="宋体" w:hAnsi="宋体" w:eastAsia="宋体" w:cs="Times New Roman"/>
          <w:kern w:val="2"/>
          <w:sz w:val="24"/>
          <w:szCs w:val="22"/>
          <w:lang w:val="en-US" w:eastAsia="zh-CN" w:bidi="ar-SA"/>
        </w:rPr>
        <w:t>”</w:t>
      </w:r>
      <w:r>
        <w:rPr>
          <w:rFonts w:hint="eastAsia" w:ascii="宋体" w:hAnsi="宋体" w:eastAsia="宋体" w:cs="Times New Roman"/>
          <w:kern w:val="2"/>
          <w:sz w:val="24"/>
          <w:szCs w:val="22"/>
          <w:lang w:val="en-US" w:eastAsia="zh-TW" w:bidi="ar-SA"/>
        </w:rPr>
        <w:t>。禤健聰</w:t>
      </w:r>
      <w:r>
        <w:rPr>
          <w:rFonts w:hint="eastAsia" w:ascii="宋体" w:hAnsi="宋体" w:eastAsia="宋体" w:cs="Times New Roman"/>
          <w:kern w:val="2"/>
          <w:sz w:val="24"/>
          <w:szCs w:val="22"/>
          <w:lang w:val="en-US" w:eastAsia="zh-CN" w:bidi="ar-SA"/>
        </w:rPr>
        <w:t>《</w:t>
      </w:r>
      <w:r>
        <w:rPr>
          <w:rFonts w:hint="eastAsia" w:ascii="宋体" w:hAnsi="宋体" w:eastAsia="宋体" w:cs="Times New Roman"/>
          <w:kern w:val="2"/>
          <w:sz w:val="24"/>
          <w:szCs w:val="22"/>
          <w:lang w:val="en-US" w:eastAsia="zh-TW" w:bidi="ar-SA"/>
        </w:rPr>
        <w:t>上博（七）零劄三則</w:t>
      </w:r>
      <w:r>
        <w:rPr>
          <w:rFonts w:hint="eastAsia" w:ascii="宋体" w:hAnsi="宋体" w:eastAsia="宋体" w:cs="Times New Roman"/>
          <w:kern w:val="2"/>
          <w:sz w:val="24"/>
          <w:szCs w:val="22"/>
          <w:lang w:val="en-US" w:eastAsia="zh-CN" w:bidi="ar-SA"/>
        </w:rPr>
        <w:t>》</w:t>
      </w:r>
      <w:r>
        <w:rPr>
          <w:rFonts w:hint="eastAsia" w:ascii="宋体" w:hAnsi="宋体" w:eastAsia="宋体" w:cs="Times New Roman"/>
          <w:kern w:val="2"/>
          <w:sz w:val="24"/>
          <w:szCs w:val="22"/>
          <w:lang w:val="en-US" w:eastAsia="zh-TW" w:bidi="ar-SA"/>
        </w:rPr>
        <w:t>（簡帛網，2009年1月）隸定爲</w:t>
      </w:r>
      <w:r>
        <w:rPr>
          <w:rFonts w:hint="eastAsia" w:ascii="宋体" w:hAnsi="宋体" w:eastAsia="宋体" w:cs="Times New Roman"/>
          <w:kern w:val="2"/>
          <w:sz w:val="24"/>
          <w:szCs w:val="22"/>
          <w:lang w:val="en-US" w:eastAsia="zh-CN" w:bidi="ar-SA"/>
        </w:rPr>
        <w:t>“</w:t>
      </w:r>
      <w:r>
        <w:rPr>
          <w:rFonts w:hint="eastAsia" w:ascii="宋体" w:hAnsi="宋体" w:eastAsia="宋体" w:cs="Times New Roman"/>
          <w:kern w:val="2"/>
          <w:sz w:val="24"/>
          <w:szCs w:val="22"/>
          <w:lang w:val="en-US" w:eastAsia="zh-CN" w:bidi="ar-SA"/>
        </w:rPr>
        <w:drawing>
          <wp:inline distT="0" distB="0" distL="114300" distR="114300">
            <wp:extent cx="152400" cy="165100"/>
            <wp:effectExtent l="0" t="0" r="0" b="0"/>
            <wp:docPr id="13" name="图片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89"/>
                    <pic:cNvPicPr>
                      <a:picLocks noChangeAspect="1"/>
                    </pic:cNvPicPr>
                  </pic:nvPicPr>
                  <pic:blipFill>
                    <a:blip r:embed="rId5"/>
                    <a:stretch>
                      <a:fillRect/>
                    </a:stretch>
                  </pic:blipFill>
                  <pic:spPr>
                    <a:xfrm>
                      <a:off x="0" y="0"/>
                      <a:ext cx="152400" cy="165100"/>
                    </a:xfrm>
                    <a:prstGeom prst="rect">
                      <a:avLst/>
                    </a:prstGeom>
                    <a:noFill/>
                    <a:ln>
                      <a:noFill/>
                    </a:ln>
                  </pic:spPr>
                </pic:pic>
              </a:graphicData>
            </a:graphic>
          </wp:inline>
        </w:drawing>
      </w:r>
      <w:r>
        <w:rPr>
          <w:rFonts w:hint="eastAsia" w:ascii="宋体" w:hAnsi="宋体" w:eastAsia="宋体" w:cs="Times New Roman"/>
          <w:kern w:val="2"/>
          <w:sz w:val="24"/>
          <w:szCs w:val="22"/>
          <w:lang w:val="en-US" w:eastAsia="zh-CN" w:bidi="ar-SA"/>
        </w:rPr>
        <w:t>”</w:t>
      </w:r>
      <w:r>
        <w:rPr>
          <w:rFonts w:hint="eastAsia" w:ascii="宋体" w:hAnsi="宋体" w:eastAsia="宋体" w:cs="Times New Roman"/>
          <w:kern w:val="2"/>
          <w:sz w:val="24"/>
          <w:szCs w:val="22"/>
          <w:lang w:val="en-US" w:eastAsia="zh-TW" w:bidi="ar-SA"/>
        </w:rPr>
        <w:t>，讀作</w:t>
      </w:r>
      <w:r>
        <w:rPr>
          <w:rFonts w:hint="eastAsia" w:ascii="宋体" w:hAnsi="宋体" w:eastAsia="宋体" w:cs="Times New Roman"/>
          <w:kern w:val="2"/>
          <w:sz w:val="24"/>
          <w:szCs w:val="22"/>
          <w:lang w:val="en-US" w:eastAsia="zh-CN" w:bidi="ar-SA"/>
        </w:rPr>
        <w:t>“</w:t>
      </w:r>
      <w:r>
        <w:rPr>
          <w:rFonts w:hint="eastAsia" w:ascii="宋体" w:hAnsi="宋体" w:eastAsia="宋体" w:cs="Times New Roman"/>
          <w:kern w:val="2"/>
          <w:sz w:val="24"/>
          <w:szCs w:val="22"/>
          <w:lang w:val="en-US" w:eastAsia="zh-TW" w:bidi="ar-SA"/>
        </w:rPr>
        <w:t>藜</w:t>
      </w:r>
      <w:r>
        <w:rPr>
          <w:rFonts w:hint="eastAsia" w:ascii="宋体" w:hAnsi="宋体" w:eastAsia="宋体" w:cs="Times New Roman"/>
          <w:kern w:val="2"/>
          <w:sz w:val="24"/>
          <w:szCs w:val="22"/>
          <w:lang w:val="en-US" w:eastAsia="zh-CN" w:bidi="ar-SA"/>
        </w:rPr>
        <w:t>”</w:t>
      </w:r>
      <w:r>
        <w:rPr>
          <w:rFonts w:hint="eastAsia" w:ascii="宋体" w:hAnsi="宋体" w:eastAsia="宋体" w:cs="Times New Roman"/>
          <w:kern w:val="2"/>
          <w:sz w:val="24"/>
          <w:szCs w:val="22"/>
          <w:lang w:val="en-US" w:eastAsia="zh-TW" w:bidi="ar-SA"/>
        </w:rPr>
        <w:t>。蘇建洲《</w:t>
      </w:r>
      <w:r>
        <w:rPr>
          <w:rFonts w:hint="eastAsia" w:ascii="宋体" w:hAnsi="宋体" w:eastAsia="宋体" w:cs="Times New Roman"/>
          <w:kern w:val="2"/>
          <w:sz w:val="24"/>
          <w:szCs w:val="22"/>
          <w:lang w:val="en-US" w:eastAsia="zh-TW" w:bidi="ar-SA"/>
        </w:rPr>
        <w:t>〈</w:t>
      </w:r>
      <w:r>
        <w:rPr>
          <w:rFonts w:hint="eastAsia" w:ascii="宋体" w:hAnsi="宋体" w:eastAsia="宋体" w:cs="Times New Roman"/>
          <w:kern w:val="2"/>
          <w:sz w:val="24"/>
          <w:szCs w:val="22"/>
          <w:lang w:val="en-US" w:eastAsia="zh-TW" w:bidi="ar-SA"/>
        </w:rPr>
        <w:t>凡物流形</w:t>
      </w:r>
      <w:r>
        <w:rPr>
          <w:rFonts w:hint="eastAsia" w:ascii="宋体" w:hAnsi="宋体" w:eastAsia="宋体" w:cs="Times New Roman"/>
          <w:kern w:val="2"/>
          <w:sz w:val="24"/>
          <w:szCs w:val="22"/>
          <w:lang w:val="en-US" w:eastAsia="zh-TW" w:bidi="ar-SA"/>
        </w:rPr>
        <w:t>〉</w:t>
      </w:r>
      <w:r>
        <w:rPr>
          <w:rFonts w:hint="eastAsia" w:ascii="宋体" w:hAnsi="宋体" w:eastAsia="宋体" w:cs="Times New Roman"/>
          <w:kern w:val="2"/>
          <w:sz w:val="24"/>
          <w:szCs w:val="22"/>
          <w:lang w:val="en-US" w:eastAsia="zh-CN" w:bidi="ar-SA"/>
        </w:rPr>
        <w:t>“</w:t>
      </w:r>
      <w:r>
        <w:rPr>
          <w:rFonts w:hint="eastAsia" w:ascii="宋体" w:hAnsi="宋体" w:eastAsia="宋体" w:cs="Times New Roman"/>
          <w:kern w:val="2"/>
          <w:sz w:val="24"/>
          <w:szCs w:val="22"/>
          <w:lang w:val="en-US" w:eastAsia="zh-TW" w:bidi="ar-SA"/>
        </w:rPr>
        <w:t>一言而力不窮</w:t>
      </w:r>
      <w:r>
        <w:rPr>
          <w:rFonts w:hint="eastAsia" w:ascii="宋体" w:hAnsi="宋体" w:eastAsia="宋体" w:cs="Times New Roman"/>
          <w:kern w:val="2"/>
          <w:sz w:val="24"/>
          <w:szCs w:val="22"/>
          <w:lang w:val="en-US" w:eastAsia="zh-CN" w:bidi="ar-SA"/>
        </w:rPr>
        <w:t>”</w:t>
      </w:r>
      <w:r>
        <w:rPr>
          <w:rFonts w:hint="eastAsia" w:ascii="宋体" w:hAnsi="宋体" w:eastAsia="宋体" w:cs="Times New Roman"/>
          <w:kern w:val="2"/>
          <w:sz w:val="24"/>
          <w:szCs w:val="22"/>
          <w:lang w:val="en-US" w:eastAsia="zh-TW" w:bidi="ar-SA"/>
        </w:rPr>
        <w:t>》</w:t>
      </w:r>
      <w:r>
        <w:rPr>
          <w:rFonts w:hint="eastAsia" w:ascii="宋体" w:hAnsi="宋体" w:eastAsia="宋体" w:cs="Times New Roman"/>
          <w:kern w:val="2"/>
          <w:sz w:val="24"/>
          <w:szCs w:val="22"/>
          <w:lang w:val="en-US" w:eastAsia="zh-TW" w:bidi="ar-SA"/>
        </w:rPr>
        <w:t>（復旦大學出土文獻與古文字研究中心網，2009年1月）隸定爲</w:t>
      </w:r>
      <w:r>
        <w:rPr>
          <w:rFonts w:hint="eastAsia" w:ascii="宋体" w:hAnsi="宋体" w:eastAsia="宋体" w:cs="Times New Roman"/>
          <w:kern w:val="2"/>
          <w:sz w:val="24"/>
          <w:szCs w:val="22"/>
          <w:lang w:val="en-US" w:eastAsia="zh-CN" w:bidi="ar-SA"/>
        </w:rPr>
        <w:t>“</w:t>
      </w:r>
      <w:r>
        <w:rPr>
          <w:rFonts w:hint="eastAsia" w:ascii="宋体" w:hAnsi="宋体" w:eastAsia="宋体" w:cs="Times New Roman"/>
          <w:kern w:val="2"/>
          <w:sz w:val="24"/>
          <w:szCs w:val="22"/>
          <w:lang w:val="en-US" w:eastAsia="zh-TW" w:bidi="ar-SA"/>
        </w:rPr>
        <w:t>力</w:t>
      </w:r>
      <w:r>
        <w:rPr>
          <w:rFonts w:hint="eastAsia" w:ascii="宋体" w:hAnsi="宋体" w:eastAsia="宋体" w:cs="Times New Roman"/>
          <w:kern w:val="2"/>
          <w:sz w:val="24"/>
          <w:szCs w:val="22"/>
          <w:lang w:val="en-US" w:eastAsia="zh-CN" w:bidi="ar-SA"/>
        </w:rPr>
        <w:t>”</w:t>
      </w:r>
      <w:r>
        <w:rPr>
          <w:rFonts w:hint="eastAsia" w:ascii="宋体" w:hAnsi="宋体" w:eastAsia="宋体" w:cs="Times New Roman"/>
          <w:kern w:val="2"/>
          <w:sz w:val="24"/>
          <w:szCs w:val="22"/>
          <w:lang w:val="en-US" w:eastAsia="zh-TW" w:bidi="ar-SA"/>
        </w:rPr>
        <w:t>。此字存疑待考，姑且依文脈作</w:t>
      </w:r>
      <w:r>
        <w:rPr>
          <w:rFonts w:hint="eastAsia" w:ascii="宋体" w:hAnsi="宋体" w:eastAsia="宋体" w:cs="Times New Roman"/>
          <w:kern w:val="2"/>
          <w:sz w:val="24"/>
          <w:szCs w:val="22"/>
          <w:lang w:val="en-US" w:eastAsia="zh-CN" w:bidi="ar-SA"/>
        </w:rPr>
        <w:t>“</w:t>
      </w:r>
      <w:r>
        <w:rPr>
          <w:rFonts w:hint="eastAsia" w:ascii="宋体" w:hAnsi="宋体" w:eastAsia="宋体" w:cs="Times New Roman"/>
          <w:kern w:val="2"/>
          <w:sz w:val="24"/>
          <w:szCs w:val="22"/>
          <w:lang w:val="en-US" w:eastAsia="zh-TW" w:bidi="ar-SA"/>
        </w:rPr>
        <w:t>和</w:t>
      </w:r>
      <w:r>
        <w:rPr>
          <w:rFonts w:hint="eastAsia" w:ascii="宋体" w:hAnsi="宋体" w:eastAsia="宋体" w:cs="Times New Roman"/>
          <w:kern w:val="2"/>
          <w:sz w:val="24"/>
          <w:szCs w:val="22"/>
          <w:lang w:val="en-US" w:eastAsia="zh-CN" w:bidi="ar-SA"/>
        </w:rPr>
        <w:t>”</w:t>
      </w:r>
      <w:r>
        <w:rPr>
          <w:rFonts w:hint="eastAsia" w:ascii="宋体" w:hAnsi="宋体" w:eastAsia="宋体" w:cs="Times New Roman"/>
          <w:kern w:val="2"/>
          <w:sz w:val="24"/>
          <w:szCs w:val="22"/>
          <w:lang w:val="en-US" w:eastAsia="zh-TW" w:bidi="ar-SA"/>
        </w:rPr>
        <w:t>字解。</w:t>
      </w:r>
    </w:p>
  </w:footnote>
  <w:footnote w:id="43">
    <w:p>
      <w:r>
        <w:rPr>
          <w:rFonts w:hint="eastAsia" w:ascii="宋体" w:hAnsi="宋体" w:eastAsia="宋体" w:cs="Times New Roman"/>
          <w:kern w:val="2"/>
          <w:sz w:val="24"/>
          <w:szCs w:val="22"/>
          <w:lang w:val="en-US" w:eastAsia="zh-CN" w:bidi="ar-SA"/>
        </w:rPr>
        <w:footnoteRef/>
      </w:r>
      <w:r>
        <w:rPr>
          <w:rFonts w:hint="eastAsia" w:ascii="宋体" w:hAnsi="宋体" w:eastAsia="宋体" w:cs="Times New Roman"/>
          <w:kern w:val="2"/>
          <w:sz w:val="24"/>
          <w:szCs w:val="22"/>
          <w:lang w:val="en-US" w:eastAsia="zh-TW" w:bidi="ar-SA"/>
        </w:rPr>
        <w:t xml:space="preserve"> 此外，</w:t>
      </w:r>
      <w:r>
        <w:rPr>
          <w:rFonts w:hint="eastAsia" w:ascii="宋体" w:hAnsi="宋体" w:eastAsia="宋体" w:cs="Times New Roman"/>
          <w:kern w:val="2"/>
          <w:sz w:val="24"/>
          <w:szCs w:val="22"/>
          <w:lang w:val="en-US" w:eastAsia="zh-CN" w:bidi="ar-SA"/>
        </w:rPr>
        <w:t>“百姓之所貴唯君【簡28】”</w:t>
      </w:r>
      <w:r>
        <w:rPr>
          <w:rFonts w:hint="eastAsia" w:ascii="宋体" w:hAnsi="宋体" w:eastAsia="宋体" w:cs="Times New Roman"/>
          <w:kern w:val="2"/>
          <w:sz w:val="24"/>
          <w:szCs w:val="22"/>
          <w:lang w:val="en-US" w:eastAsia="zh-TW" w:bidi="ar-SA"/>
        </w:rPr>
        <w:t>這一說法</w:t>
      </w:r>
      <w:r>
        <w:rPr>
          <w:rFonts w:hint="eastAsia"/>
          <w:lang w:eastAsia="zh-TW"/>
        </w:rPr>
        <w:t>亦包含了某種肯定集權政治的傾向。</w:t>
      </w:r>
    </w:p>
  </w:footnote>
  <w:footnote w:id="44">
    <w:p>
      <w:r>
        <w:rPr>
          <w:rFonts w:hint="eastAsia"/>
        </w:rPr>
        <w:footnoteRef/>
      </w:r>
      <w:r>
        <w:rPr>
          <w:rFonts w:hint="eastAsia"/>
          <w:lang w:eastAsia="zh-TW"/>
        </w:rPr>
        <w:t xml:space="preserve"> 王中江《〈凡物流形〉</w:t>
      </w:r>
      <w:r>
        <w:rPr>
          <w:rFonts w:hint="eastAsia"/>
        </w:rPr>
        <w:t>“一”</w:t>
      </w:r>
      <w:r>
        <w:rPr>
          <w:rFonts w:hint="eastAsia"/>
          <w:lang w:eastAsia="zh-TW"/>
        </w:rPr>
        <w:t>的思想構造及其位置》，《學術月刊》第45巻（2013年10月），頁40-48。</w:t>
      </w:r>
    </w:p>
  </w:footnote>
  <w:footnote w:id="45">
    <w:p>
      <w:r>
        <w:rPr>
          <w:rFonts w:hint="eastAsia"/>
        </w:rPr>
        <w:footnoteRef/>
      </w:r>
      <w:r>
        <w:rPr>
          <w:rFonts w:hint="eastAsia"/>
        </w:rPr>
        <w:t xml:space="preserve"> 可參考谷中信一</w:t>
      </w:r>
      <w:r>
        <w:rPr>
          <w:rFonts w:hint="eastAsia"/>
          <w:lang w:eastAsia="zh-CN"/>
        </w:rPr>
        <w:t>《</w:t>
      </w:r>
      <w:r>
        <w:rPr>
          <w:rFonts w:hint="eastAsia"/>
        </w:rPr>
        <w:t>郭店楚簡</w:t>
      </w:r>
      <w:r>
        <w:rPr>
          <w:rFonts w:hint="eastAsia"/>
          <w:lang w:val="en-US" w:eastAsia="zh-CN"/>
        </w:rPr>
        <w:t>〈</w:t>
      </w:r>
      <w:r>
        <w:rPr>
          <w:rFonts w:hint="eastAsia"/>
        </w:rPr>
        <w:t>老子</w:t>
      </w:r>
      <w:r>
        <w:rPr>
          <w:rFonts w:hint="eastAsia"/>
          <w:lang w:val="en-US" w:eastAsia="zh-CN"/>
        </w:rPr>
        <w:t>〉</w:t>
      </w:r>
      <w:r>
        <w:rPr>
          <w:rFonts w:hint="eastAsia"/>
        </w:rPr>
        <w:t>考</w:t>
      </w:r>
      <w:r>
        <w:rPr>
          <w:rFonts w:hint="eastAsia"/>
          <w:lang w:eastAsia="zh-CN"/>
        </w:rPr>
        <w:t>》</w:t>
      </w:r>
      <w:r>
        <w:rPr>
          <w:rFonts w:hint="eastAsia"/>
        </w:rPr>
        <w:t>，谷中信一《</w:t>
      </w:r>
      <w:bookmarkStart w:id="2" w:name="_GoBack"/>
      <w:r>
        <w:rPr>
          <w:rFonts w:hint="eastAsia"/>
          <w:lang w:val="en-US" w:eastAsia="zh-CN"/>
        </w:rPr>
        <w:t>〈</w:t>
      </w:r>
      <w:bookmarkEnd w:id="2"/>
      <w:r>
        <w:rPr>
          <w:rFonts w:hint="eastAsia"/>
        </w:rPr>
        <w:t>老子</w:t>
      </w:r>
      <w:r>
        <w:rPr>
          <w:rFonts w:hint="eastAsia"/>
          <w:lang w:val="en-US" w:eastAsia="zh-CN"/>
        </w:rPr>
        <w:t>〉</w:t>
      </w:r>
      <w:r>
        <w:rPr>
          <w:rFonts w:hint="eastAsia"/>
        </w:rPr>
        <w:t>經典化過程の研究》（東京：汲古書院，2015年），頁11-12。</w:t>
      </w:r>
    </w:p>
  </w:footnote>
  <w:footnote w:id="46">
    <w:p>
      <w:pPr>
        <w:rPr>
          <w:lang w:eastAsia="zh-TW"/>
        </w:rPr>
      </w:pPr>
      <w:r>
        <w:rPr>
          <w:rFonts w:hint="eastAsia"/>
        </w:rPr>
        <w:footnoteRef/>
      </w:r>
      <w:r>
        <w:rPr>
          <w:rFonts w:hint="eastAsia"/>
          <w:lang w:eastAsia="zh-TW"/>
        </w:rPr>
        <w:t xml:space="preserve"> 此外，《淮南子》中</w:t>
      </w:r>
      <w:r>
        <w:rPr>
          <w:rFonts w:hint="eastAsia"/>
          <w:lang w:eastAsia="zh-CN"/>
        </w:rPr>
        <w:t>《</w:t>
      </w:r>
      <w:r>
        <w:rPr>
          <w:rFonts w:hint="eastAsia"/>
          <w:lang w:eastAsia="zh-TW"/>
        </w:rPr>
        <w:t>天文</w:t>
      </w:r>
      <w:r>
        <w:rPr>
          <w:rFonts w:hint="eastAsia"/>
          <w:lang w:eastAsia="zh-CN"/>
        </w:rPr>
        <w:t>》</w:t>
      </w:r>
      <w:r>
        <w:rPr>
          <w:rFonts w:hint="eastAsia"/>
          <w:lang w:eastAsia="zh-TW"/>
        </w:rPr>
        <w:t>篇</w:t>
      </w:r>
      <w:r>
        <w:rPr>
          <w:rFonts w:hint="eastAsia"/>
        </w:rPr>
        <w:t>“道曰規，道始於一，一而不生，故分而爲陰陽，陰陽合和而萬物生。故曰：</w:t>
      </w:r>
      <w:r>
        <w:rPr>
          <w:rFonts w:hint="eastAsia"/>
          <w:lang w:eastAsia="zh-CN"/>
        </w:rPr>
        <w:t>‘</w:t>
      </w:r>
      <w:r>
        <w:rPr>
          <w:rFonts w:hint="eastAsia"/>
        </w:rPr>
        <w:t>一生二，二生三，三生萬物</w:t>
      </w:r>
      <w:r>
        <w:rPr>
          <w:rFonts w:hint="eastAsia"/>
          <w:lang w:eastAsia="zh-CN"/>
        </w:rPr>
        <w:t>’</w:t>
      </w:r>
      <w:r>
        <w:rPr>
          <w:rFonts w:hint="eastAsia"/>
        </w:rPr>
        <w:t>”</w:t>
      </w:r>
      <w:r>
        <w:rPr>
          <w:rFonts w:hint="eastAsia"/>
          <w:lang w:eastAsia="zh-TW"/>
        </w:rPr>
        <w:t>及</w:t>
      </w:r>
      <w:r>
        <w:rPr>
          <w:rFonts w:hint="eastAsia"/>
          <w:lang w:eastAsia="zh-CN"/>
        </w:rPr>
        <w:t>《</w:t>
      </w:r>
      <w:r>
        <w:rPr>
          <w:rFonts w:hint="eastAsia"/>
          <w:lang w:val="en-US" w:eastAsia="zh-CN"/>
        </w:rPr>
        <w:t>精神</w:t>
      </w:r>
      <w:r>
        <w:rPr>
          <w:rFonts w:hint="eastAsia"/>
          <w:lang w:eastAsia="zh-CN"/>
        </w:rPr>
        <w:t>》</w:t>
      </w:r>
      <w:r>
        <w:rPr>
          <w:rFonts w:hint="eastAsia"/>
          <w:lang w:eastAsia="zh-TW"/>
        </w:rPr>
        <w:t>篇</w:t>
      </w:r>
      <w:r>
        <w:rPr>
          <w:rFonts w:hint="eastAsia"/>
        </w:rPr>
        <w:t>“夫精神者，所受於天也。而形體者，所稟於地也。故曰：</w:t>
      </w:r>
      <w:r>
        <w:rPr>
          <w:rFonts w:hint="eastAsia"/>
          <w:lang w:eastAsia="zh-CN"/>
        </w:rPr>
        <w:t>‘</w:t>
      </w:r>
      <w:r>
        <w:rPr>
          <w:rFonts w:hint="eastAsia"/>
        </w:rPr>
        <w:t>一生二、二生三、三生萬物。萬物背陰而抱陽、沖氣以爲和</w:t>
      </w:r>
      <w:r>
        <w:rPr>
          <w:rFonts w:hint="eastAsia"/>
          <w:lang w:eastAsia="zh-CN"/>
        </w:rPr>
        <w:t>’</w:t>
      </w:r>
      <w:r>
        <w:rPr>
          <w:rFonts w:hint="eastAsia"/>
        </w:rPr>
        <w:t>”</w:t>
      </w:r>
      <w:r>
        <w:rPr>
          <w:rFonts w:hint="eastAsia"/>
          <w:lang w:eastAsia="zh-TW"/>
        </w:rPr>
        <w:t>中亦引用了數字式的生成論。尤其</w:t>
      </w:r>
      <w:r>
        <w:rPr>
          <w:rFonts w:hint="eastAsia"/>
          <w:lang w:eastAsia="zh-CN"/>
        </w:rPr>
        <w:t>《</w:t>
      </w:r>
      <w:r>
        <w:rPr>
          <w:rFonts w:hint="eastAsia"/>
          <w:lang w:val="en-US" w:eastAsia="zh-CN"/>
        </w:rPr>
        <w:t>精神</w:t>
      </w:r>
      <w:r>
        <w:rPr>
          <w:rFonts w:hint="eastAsia"/>
          <w:lang w:eastAsia="zh-CN"/>
        </w:rPr>
        <w:t>》</w:t>
      </w:r>
      <w:r>
        <w:rPr>
          <w:rFonts w:hint="eastAsia"/>
          <w:lang w:eastAsia="zh-TW"/>
        </w:rPr>
        <w:t>篇明顯引自與傳世本《老子》第四十二章相當的文獻。然而《淮南子》的引文均以“一生二”爲始，並不存在“道生一”的部分。《淮南子》上述兩篇的作者在引用該部分時故意刪除“道生一”的部分可能性不大。該作者所見《老子》的數字式生成論原本當沒有“道生一”的部分。</w:t>
      </w:r>
    </w:p>
  </w:footnote>
  <w:footnote w:id="47">
    <w:p>
      <w:pPr>
        <w:rPr>
          <w:lang w:eastAsia="zh-TW"/>
        </w:rPr>
      </w:pPr>
      <w:r>
        <w:rPr>
          <w:rFonts w:hint="eastAsia"/>
        </w:rPr>
        <w:footnoteRef/>
      </w:r>
      <w:r>
        <w:rPr>
          <w:rFonts w:hint="eastAsia"/>
        </w:rPr>
        <w:t xml:space="preserve"> 參考註30</w:t>
      </w:r>
      <w:r>
        <w:rPr>
          <w:rFonts w:hint="eastAsia"/>
          <w:lang w:eastAsia="zh-TW"/>
        </w:rPr>
        <w:t>。</w:t>
      </w:r>
    </w:p>
    <w:p>
      <w:pPr>
        <w:rPr>
          <w:lang w:eastAsia="zh-TW"/>
        </w:rPr>
      </w:pPr>
    </w:p>
    <w:p>
      <w:pPr>
        <w:pStyle w:val="2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before="240" w:after="240"/>
      <w:ind w:firstLine="436"/>
    </w:pPr>
    <w:r>
      <w:rPr>
        <w:rFonts w:hint="eastAsia"/>
      </w:rPr>
      <w:t>复旦大学出土文献与古文字研究中心网站论文</w:t>
    </w:r>
  </w:p>
  <w:p>
    <w:pPr>
      <w:pStyle w:val="20"/>
      <w:spacing w:before="240" w:after="240"/>
      <w:ind w:firstLine="436"/>
    </w:pPr>
    <w:r>
      <w:rPr>
        <w:rFonts w:hint="eastAsia"/>
      </w:rPr>
      <w:t>链接：</w:t>
    </w:r>
    <w:r>
      <w:t>http://www.fdgwz.org.cn/Web/Show/11142#_edn12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902DB"/>
    <w:multiLevelType w:val="multilevel"/>
    <w:tmpl w:val="02C902DB"/>
    <w:lvl w:ilvl="0" w:tentative="0">
      <w:start w:val="1"/>
      <w:numFmt w:val="decimal"/>
      <w:pStyle w:val="179"/>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7856CE3"/>
    <w:multiLevelType w:val="multilevel"/>
    <w:tmpl w:val="17856CE3"/>
    <w:lvl w:ilvl="0" w:tentative="0">
      <w:start w:val="1"/>
      <w:numFmt w:val="decimal"/>
      <w:pStyle w:val="190"/>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4FB75FE3"/>
    <w:multiLevelType w:val="multilevel"/>
    <w:tmpl w:val="4FB75FE3"/>
    <w:lvl w:ilvl="0" w:tentative="0">
      <w:start w:val="1"/>
      <w:numFmt w:val="decimal"/>
      <w:pStyle w:val="183"/>
      <w:lvlText w:val="%1."/>
      <w:lvlJc w:val="left"/>
      <w:pPr>
        <w:ind w:left="562" w:hanging="420"/>
      </w:pPr>
      <w:rPr>
        <w:rFonts w:hint="eastAsia"/>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96"/>
    <w:footnote w:id="97"/>
  </w:footnotePr>
  <w:endnotePr>
    <w:numFmt w:val="decimal"/>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0M2YzYWI1YTZmZGE0ZmQ4OGFkMDgzNGU5M2ViZTgifQ=="/>
  </w:docVars>
  <w:rsids>
    <w:rsidRoot w:val="00CB0024"/>
    <w:rsid w:val="00000665"/>
    <w:rsid w:val="000038DD"/>
    <w:rsid w:val="00004756"/>
    <w:rsid w:val="000118C4"/>
    <w:rsid w:val="00011970"/>
    <w:rsid w:val="000133A5"/>
    <w:rsid w:val="000160FB"/>
    <w:rsid w:val="00016334"/>
    <w:rsid w:val="000176BF"/>
    <w:rsid w:val="00017F20"/>
    <w:rsid w:val="000205F4"/>
    <w:rsid w:val="00020E8F"/>
    <w:rsid w:val="00021234"/>
    <w:rsid w:val="00022497"/>
    <w:rsid w:val="0002486C"/>
    <w:rsid w:val="00025179"/>
    <w:rsid w:val="000269A2"/>
    <w:rsid w:val="00031027"/>
    <w:rsid w:val="0003211C"/>
    <w:rsid w:val="00032E60"/>
    <w:rsid w:val="00033997"/>
    <w:rsid w:val="00033F9D"/>
    <w:rsid w:val="00035922"/>
    <w:rsid w:val="00036B75"/>
    <w:rsid w:val="00036C59"/>
    <w:rsid w:val="00037D45"/>
    <w:rsid w:val="000414E8"/>
    <w:rsid w:val="00041765"/>
    <w:rsid w:val="00041E3D"/>
    <w:rsid w:val="00043669"/>
    <w:rsid w:val="00043973"/>
    <w:rsid w:val="00043DAA"/>
    <w:rsid w:val="00050E7C"/>
    <w:rsid w:val="0005645C"/>
    <w:rsid w:val="00057FD1"/>
    <w:rsid w:val="000602F4"/>
    <w:rsid w:val="00060DC7"/>
    <w:rsid w:val="000626A6"/>
    <w:rsid w:val="000642EB"/>
    <w:rsid w:val="00064D3F"/>
    <w:rsid w:val="0006648C"/>
    <w:rsid w:val="00067514"/>
    <w:rsid w:val="00073508"/>
    <w:rsid w:val="00075069"/>
    <w:rsid w:val="00075BC1"/>
    <w:rsid w:val="00076D07"/>
    <w:rsid w:val="00076F82"/>
    <w:rsid w:val="0008174D"/>
    <w:rsid w:val="00084150"/>
    <w:rsid w:val="0008586B"/>
    <w:rsid w:val="000860FF"/>
    <w:rsid w:val="00086283"/>
    <w:rsid w:val="00095B2D"/>
    <w:rsid w:val="000A0357"/>
    <w:rsid w:val="000A4034"/>
    <w:rsid w:val="000A4A8F"/>
    <w:rsid w:val="000A567C"/>
    <w:rsid w:val="000B02C6"/>
    <w:rsid w:val="000B2847"/>
    <w:rsid w:val="000B3534"/>
    <w:rsid w:val="000B3E82"/>
    <w:rsid w:val="000B4C47"/>
    <w:rsid w:val="000B6762"/>
    <w:rsid w:val="000B7803"/>
    <w:rsid w:val="000C16D2"/>
    <w:rsid w:val="000C1EE7"/>
    <w:rsid w:val="000C306D"/>
    <w:rsid w:val="000C439A"/>
    <w:rsid w:val="000D0719"/>
    <w:rsid w:val="000D0B59"/>
    <w:rsid w:val="000D135F"/>
    <w:rsid w:val="000D13F8"/>
    <w:rsid w:val="000D6B61"/>
    <w:rsid w:val="000E12E3"/>
    <w:rsid w:val="000E2C87"/>
    <w:rsid w:val="000E3AF3"/>
    <w:rsid w:val="000E4237"/>
    <w:rsid w:val="000E738A"/>
    <w:rsid w:val="000E7910"/>
    <w:rsid w:val="000E7C8B"/>
    <w:rsid w:val="000F28A8"/>
    <w:rsid w:val="000F445B"/>
    <w:rsid w:val="000F4BED"/>
    <w:rsid w:val="000F548E"/>
    <w:rsid w:val="000F61C6"/>
    <w:rsid w:val="000F650D"/>
    <w:rsid w:val="001000A8"/>
    <w:rsid w:val="00100BE3"/>
    <w:rsid w:val="00102E1C"/>
    <w:rsid w:val="0010392E"/>
    <w:rsid w:val="00104E73"/>
    <w:rsid w:val="00110B5F"/>
    <w:rsid w:val="00112D77"/>
    <w:rsid w:val="00113F8F"/>
    <w:rsid w:val="00114AB0"/>
    <w:rsid w:val="00117A29"/>
    <w:rsid w:val="001240BA"/>
    <w:rsid w:val="001273D1"/>
    <w:rsid w:val="00130433"/>
    <w:rsid w:val="00130713"/>
    <w:rsid w:val="00131D4E"/>
    <w:rsid w:val="001332B7"/>
    <w:rsid w:val="001347BB"/>
    <w:rsid w:val="00135E38"/>
    <w:rsid w:val="0013704E"/>
    <w:rsid w:val="001406A3"/>
    <w:rsid w:val="00140848"/>
    <w:rsid w:val="00140894"/>
    <w:rsid w:val="001433AC"/>
    <w:rsid w:val="0014698C"/>
    <w:rsid w:val="00150D16"/>
    <w:rsid w:val="00154671"/>
    <w:rsid w:val="00156D70"/>
    <w:rsid w:val="00157CC9"/>
    <w:rsid w:val="00160DDF"/>
    <w:rsid w:val="00161956"/>
    <w:rsid w:val="001632CA"/>
    <w:rsid w:val="00163364"/>
    <w:rsid w:val="001641C2"/>
    <w:rsid w:val="00167A7A"/>
    <w:rsid w:val="00170500"/>
    <w:rsid w:val="00170CAA"/>
    <w:rsid w:val="00172326"/>
    <w:rsid w:val="00173ABC"/>
    <w:rsid w:val="00173B79"/>
    <w:rsid w:val="00175793"/>
    <w:rsid w:val="0017795C"/>
    <w:rsid w:val="001801DC"/>
    <w:rsid w:val="00180430"/>
    <w:rsid w:val="00181901"/>
    <w:rsid w:val="001825C2"/>
    <w:rsid w:val="00182F65"/>
    <w:rsid w:val="0018424B"/>
    <w:rsid w:val="0018778C"/>
    <w:rsid w:val="00191B35"/>
    <w:rsid w:val="001938D1"/>
    <w:rsid w:val="00193DFC"/>
    <w:rsid w:val="00194702"/>
    <w:rsid w:val="00195708"/>
    <w:rsid w:val="001957D4"/>
    <w:rsid w:val="00195BA5"/>
    <w:rsid w:val="00196304"/>
    <w:rsid w:val="0019751F"/>
    <w:rsid w:val="001A02A8"/>
    <w:rsid w:val="001A19B2"/>
    <w:rsid w:val="001A2790"/>
    <w:rsid w:val="001A4915"/>
    <w:rsid w:val="001A5188"/>
    <w:rsid w:val="001B1493"/>
    <w:rsid w:val="001B1823"/>
    <w:rsid w:val="001B293E"/>
    <w:rsid w:val="001B3E07"/>
    <w:rsid w:val="001B492F"/>
    <w:rsid w:val="001B573F"/>
    <w:rsid w:val="001B58C5"/>
    <w:rsid w:val="001B5F37"/>
    <w:rsid w:val="001B682E"/>
    <w:rsid w:val="001B6C4A"/>
    <w:rsid w:val="001B710F"/>
    <w:rsid w:val="001B771E"/>
    <w:rsid w:val="001B7D03"/>
    <w:rsid w:val="001C01CD"/>
    <w:rsid w:val="001C0A09"/>
    <w:rsid w:val="001C0D58"/>
    <w:rsid w:val="001C0EEC"/>
    <w:rsid w:val="001C2AB0"/>
    <w:rsid w:val="001C3756"/>
    <w:rsid w:val="001C4566"/>
    <w:rsid w:val="001C46F8"/>
    <w:rsid w:val="001C743C"/>
    <w:rsid w:val="001C7CFF"/>
    <w:rsid w:val="001C7EF2"/>
    <w:rsid w:val="001D1713"/>
    <w:rsid w:val="001D427D"/>
    <w:rsid w:val="001D6615"/>
    <w:rsid w:val="001D76E5"/>
    <w:rsid w:val="001D7AFE"/>
    <w:rsid w:val="001E0193"/>
    <w:rsid w:val="001E6598"/>
    <w:rsid w:val="001E71B9"/>
    <w:rsid w:val="001F1566"/>
    <w:rsid w:val="001F1BFC"/>
    <w:rsid w:val="001F7BAB"/>
    <w:rsid w:val="002000B5"/>
    <w:rsid w:val="002009A6"/>
    <w:rsid w:val="00200A3E"/>
    <w:rsid w:val="00200B58"/>
    <w:rsid w:val="00205815"/>
    <w:rsid w:val="002072DA"/>
    <w:rsid w:val="002076FA"/>
    <w:rsid w:val="00211416"/>
    <w:rsid w:val="002117E4"/>
    <w:rsid w:val="002129CF"/>
    <w:rsid w:val="00216AB7"/>
    <w:rsid w:val="00217A9A"/>
    <w:rsid w:val="002209DA"/>
    <w:rsid w:val="002211DE"/>
    <w:rsid w:val="00221F6F"/>
    <w:rsid w:val="00222C57"/>
    <w:rsid w:val="00222DB3"/>
    <w:rsid w:val="00222FCE"/>
    <w:rsid w:val="00226A4D"/>
    <w:rsid w:val="00231125"/>
    <w:rsid w:val="00231D53"/>
    <w:rsid w:val="0023231C"/>
    <w:rsid w:val="002346A0"/>
    <w:rsid w:val="00237037"/>
    <w:rsid w:val="002372F1"/>
    <w:rsid w:val="00240C8C"/>
    <w:rsid w:val="00240D1E"/>
    <w:rsid w:val="00240D78"/>
    <w:rsid w:val="00240EAB"/>
    <w:rsid w:val="00243FD0"/>
    <w:rsid w:val="002452F9"/>
    <w:rsid w:val="0024748E"/>
    <w:rsid w:val="0025043C"/>
    <w:rsid w:val="00250AD9"/>
    <w:rsid w:val="00250B5A"/>
    <w:rsid w:val="002510D1"/>
    <w:rsid w:val="00253015"/>
    <w:rsid w:val="002530D7"/>
    <w:rsid w:val="00253AA5"/>
    <w:rsid w:val="00253DAA"/>
    <w:rsid w:val="00254681"/>
    <w:rsid w:val="00257291"/>
    <w:rsid w:val="00257D63"/>
    <w:rsid w:val="0026058F"/>
    <w:rsid w:val="0026193B"/>
    <w:rsid w:val="00261D2E"/>
    <w:rsid w:val="00262221"/>
    <w:rsid w:val="00270FAE"/>
    <w:rsid w:val="0027142D"/>
    <w:rsid w:val="002732E6"/>
    <w:rsid w:val="00273C56"/>
    <w:rsid w:val="00276ACF"/>
    <w:rsid w:val="0027743E"/>
    <w:rsid w:val="002819AA"/>
    <w:rsid w:val="0028213F"/>
    <w:rsid w:val="0028564F"/>
    <w:rsid w:val="002865ED"/>
    <w:rsid w:val="002866B4"/>
    <w:rsid w:val="00291D8E"/>
    <w:rsid w:val="00292887"/>
    <w:rsid w:val="00293574"/>
    <w:rsid w:val="002936DF"/>
    <w:rsid w:val="00294FD3"/>
    <w:rsid w:val="002A1D71"/>
    <w:rsid w:val="002A3D97"/>
    <w:rsid w:val="002A4173"/>
    <w:rsid w:val="002A44D4"/>
    <w:rsid w:val="002A5820"/>
    <w:rsid w:val="002A6194"/>
    <w:rsid w:val="002B0ED9"/>
    <w:rsid w:val="002B2F28"/>
    <w:rsid w:val="002B32DA"/>
    <w:rsid w:val="002B3F0D"/>
    <w:rsid w:val="002C1D30"/>
    <w:rsid w:val="002C4751"/>
    <w:rsid w:val="002C4C02"/>
    <w:rsid w:val="002C70BF"/>
    <w:rsid w:val="002C7445"/>
    <w:rsid w:val="002D0FD4"/>
    <w:rsid w:val="002D37CF"/>
    <w:rsid w:val="002D5A42"/>
    <w:rsid w:val="002D5CCD"/>
    <w:rsid w:val="002D70C9"/>
    <w:rsid w:val="002D74D8"/>
    <w:rsid w:val="002D7F21"/>
    <w:rsid w:val="002E23C3"/>
    <w:rsid w:val="002E2792"/>
    <w:rsid w:val="002E503F"/>
    <w:rsid w:val="002E5DB6"/>
    <w:rsid w:val="002E6B02"/>
    <w:rsid w:val="002E722C"/>
    <w:rsid w:val="002F0C5C"/>
    <w:rsid w:val="002F12CC"/>
    <w:rsid w:val="002F135D"/>
    <w:rsid w:val="002F1FE6"/>
    <w:rsid w:val="002F2D81"/>
    <w:rsid w:val="002F4438"/>
    <w:rsid w:val="002F459B"/>
    <w:rsid w:val="002F52DC"/>
    <w:rsid w:val="00300BB1"/>
    <w:rsid w:val="0030415D"/>
    <w:rsid w:val="00307775"/>
    <w:rsid w:val="003108A4"/>
    <w:rsid w:val="00311E98"/>
    <w:rsid w:val="00312503"/>
    <w:rsid w:val="00313A1D"/>
    <w:rsid w:val="00314632"/>
    <w:rsid w:val="00314846"/>
    <w:rsid w:val="00316A3F"/>
    <w:rsid w:val="00317DBF"/>
    <w:rsid w:val="00317E80"/>
    <w:rsid w:val="0032051F"/>
    <w:rsid w:val="00324A0C"/>
    <w:rsid w:val="00324B47"/>
    <w:rsid w:val="00324F02"/>
    <w:rsid w:val="00327329"/>
    <w:rsid w:val="00327BF1"/>
    <w:rsid w:val="00330794"/>
    <w:rsid w:val="00330B16"/>
    <w:rsid w:val="00332FF4"/>
    <w:rsid w:val="00334313"/>
    <w:rsid w:val="003349B6"/>
    <w:rsid w:val="00334F9B"/>
    <w:rsid w:val="0033589E"/>
    <w:rsid w:val="00336427"/>
    <w:rsid w:val="003367D1"/>
    <w:rsid w:val="003370F3"/>
    <w:rsid w:val="00340C74"/>
    <w:rsid w:val="003516DF"/>
    <w:rsid w:val="00351C37"/>
    <w:rsid w:val="00353C36"/>
    <w:rsid w:val="003541B9"/>
    <w:rsid w:val="00355808"/>
    <w:rsid w:val="0036013B"/>
    <w:rsid w:val="00360E86"/>
    <w:rsid w:val="00362416"/>
    <w:rsid w:val="00362829"/>
    <w:rsid w:val="003630D0"/>
    <w:rsid w:val="00365AA8"/>
    <w:rsid w:val="003700FB"/>
    <w:rsid w:val="00373178"/>
    <w:rsid w:val="00374381"/>
    <w:rsid w:val="00375FA4"/>
    <w:rsid w:val="00376418"/>
    <w:rsid w:val="00377962"/>
    <w:rsid w:val="003804C5"/>
    <w:rsid w:val="00380E0F"/>
    <w:rsid w:val="00382F27"/>
    <w:rsid w:val="0038302C"/>
    <w:rsid w:val="003862DC"/>
    <w:rsid w:val="00386579"/>
    <w:rsid w:val="00387AC5"/>
    <w:rsid w:val="003914E2"/>
    <w:rsid w:val="00394082"/>
    <w:rsid w:val="00395D81"/>
    <w:rsid w:val="0039684B"/>
    <w:rsid w:val="003A0D1A"/>
    <w:rsid w:val="003B4873"/>
    <w:rsid w:val="003B655A"/>
    <w:rsid w:val="003C0C82"/>
    <w:rsid w:val="003C12E0"/>
    <w:rsid w:val="003C1BBA"/>
    <w:rsid w:val="003C2805"/>
    <w:rsid w:val="003C3289"/>
    <w:rsid w:val="003C3A8B"/>
    <w:rsid w:val="003C4800"/>
    <w:rsid w:val="003C4D06"/>
    <w:rsid w:val="003D04C9"/>
    <w:rsid w:val="003D1C8E"/>
    <w:rsid w:val="003D46B8"/>
    <w:rsid w:val="003D4D57"/>
    <w:rsid w:val="003E090C"/>
    <w:rsid w:val="003E1354"/>
    <w:rsid w:val="003E1502"/>
    <w:rsid w:val="003E1E5C"/>
    <w:rsid w:val="003E1F4A"/>
    <w:rsid w:val="003E335D"/>
    <w:rsid w:val="003F1FF4"/>
    <w:rsid w:val="003F3825"/>
    <w:rsid w:val="003F536E"/>
    <w:rsid w:val="003F604F"/>
    <w:rsid w:val="004034AC"/>
    <w:rsid w:val="00403C1D"/>
    <w:rsid w:val="004045F2"/>
    <w:rsid w:val="0040573D"/>
    <w:rsid w:val="0040657F"/>
    <w:rsid w:val="00407C14"/>
    <w:rsid w:val="004127DD"/>
    <w:rsid w:val="004179F2"/>
    <w:rsid w:val="00420C57"/>
    <w:rsid w:val="00420CE9"/>
    <w:rsid w:val="00424EDC"/>
    <w:rsid w:val="004274DB"/>
    <w:rsid w:val="00430178"/>
    <w:rsid w:val="0043067E"/>
    <w:rsid w:val="00430CA7"/>
    <w:rsid w:val="00430F52"/>
    <w:rsid w:val="00431BEA"/>
    <w:rsid w:val="004331F5"/>
    <w:rsid w:val="004346F5"/>
    <w:rsid w:val="00435401"/>
    <w:rsid w:val="00440BE0"/>
    <w:rsid w:val="00441769"/>
    <w:rsid w:val="00441B48"/>
    <w:rsid w:val="00442291"/>
    <w:rsid w:val="004428F9"/>
    <w:rsid w:val="00445B35"/>
    <w:rsid w:val="004465F0"/>
    <w:rsid w:val="00451050"/>
    <w:rsid w:val="00451C33"/>
    <w:rsid w:val="004555EF"/>
    <w:rsid w:val="00456FAD"/>
    <w:rsid w:val="004575BE"/>
    <w:rsid w:val="004628E8"/>
    <w:rsid w:val="00463DB3"/>
    <w:rsid w:val="00464D10"/>
    <w:rsid w:val="0046522D"/>
    <w:rsid w:val="00466A1C"/>
    <w:rsid w:val="004700EF"/>
    <w:rsid w:val="00471E95"/>
    <w:rsid w:val="004756A5"/>
    <w:rsid w:val="00475942"/>
    <w:rsid w:val="00476AB7"/>
    <w:rsid w:val="0048087E"/>
    <w:rsid w:val="0048259D"/>
    <w:rsid w:val="0048364F"/>
    <w:rsid w:val="00483F6F"/>
    <w:rsid w:val="004860A2"/>
    <w:rsid w:val="00490EA7"/>
    <w:rsid w:val="004918C3"/>
    <w:rsid w:val="00492180"/>
    <w:rsid w:val="004974E0"/>
    <w:rsid w:val="00497B78"/>
    <w:rsid w:val="004A0DA8"/>
    <w:rsid w:val="004A1861"/>
    <w:rsid w:val="004A2935"/>
    <w:rsid w:val="004A2C87"/>
    <w:rsid w:val="004A588E"/>
    <w:rsid w:val="004A7E18"/>
    <w:rsid w:val="004B0674"/>
    <w:rsid w:val="004B0A34"/>
    <w:rsid w:val="004B0D90"/>
    <w:rsid w:val="004B12DE"/>
    <w:rsid w:val="004B1FBB"/>
    <w:rsid w:val="004B34E3"/>
    <w:rsid w:val="004B3C9F"/>
    <w:rsid w:val="004B405F"/>
    <w:rsid w:val="004B44D6"/>
    <w:rsid w:val="004B4723"/>
    <w:rsid w:val="004B4853"/>
    <w:rsid w:val="004C2A7B"/>
    <w:rsid w:val="004C2B43"/>
    <w:rsid w:val="004D1FA3"/>
    <w:rsid w:val="004D4706"/>
    <w:rsid w:val="004E0A07"/>
    <w:rsid w:val="004E2EDC"/>
    <w:rsid w:val="004E4CF3"/>
    <w:rsid w:val="004E6E8E"/>
    <w:rsid w:val="004F15B7"/>
    <w:rsid w:val="004F244C"/>
    <w:rsid w:val="004F3321"/>
    <w:rsid w:val="004F618B"/>
    <w:rsid w:val="004F62FC"/>
    <w:rsid w:val="004F6F0B"/>
    <w:rsid w:val="004F6F9B"/>
    <w:rsid w:val="005002E6"/>
    <w:rsid w:val="00503A9E"/>
    <w:rsid w:val="005045E9"/>
    <w:rsid w:val="005049FB"/>
    <w:rsid w:val="005051B7"/>
    <w:rsid w:val="0051092B"/>
    <w:rsid w:val="0051119A"/>
    <w:rsid w:val="00511906"/>
    <w:rsid w:val="00513092"/>
    <w:rsid w:val="0051587D"/>
    <w:rsid w:val="00515C06"/>
    <w:rsid w:val="0051605E"/>
    <w:rsid w:val="005169A1"/>
    <w:rsid w:val="00517428"/>
    <w:rsid w:val="0052014E"/>
    <w:rsid w:val="0052033E"/>
    <w:rsid w:val="00520B6E"/>
    <w:rsid w:val="00522511"/>
    <w:rsid w:val="00523680"/>
    <w:rsid w:val="005274FE"/>
    <w:rsid w:val="00527F73"/>
    <w:rsid w:val="005308E6"/>
    <w:rsid w:val="00531EA3"/>
    <w:rsid w:val="00531F53"/>
    <w:rsid w:val="0053295D"/>
    <w:rsid w:val="00536AFC"/>
    <w:rsid w:val="0053723F"/>
    <w:rsid w:val="00542D51"/>
    <w:rsid w:val="005444A2"/>
    <w:rsid w:val="00545670"/>
    <w:rsid w:val="0054669E"/>
    <w:rsid w:val="00546876"/>
    <w:rsid w:val="00550387"/>
    <w:rsid w:val="00555D9E"/>
    <w:rsid w:val="00557369"/>
    <w:rsid w:val="00560572"/>
    <w:rsid w:val="00560EBB"/>
    <w:rsid w:val="00561840"/>
    <w:rsid w:val="00564069"/>
    <w:rsid w:val="00565D6A"/>
    <w:rsid w:val="00567DFF"/>
    <w:rsid w:val="00570D3D"/>
    <w:rsid w:val="00570DB1"/>
    <w:rsid w:val="00570E9F"/>
    <w:rsid w:val="005755E3"/>
    <w:rsid w:val="005816FB"/>
    <w:rsid w:val="00582D22"/>
    <w:rsid w:val="00584AEE"/>
    <w:rsid w:val="00586B2B"/>
    <w:rsid w:val="0059105D"/>
    <w:rsid w:val="005935F3"/>
    <w:rsid w:val="00594347"/>
    <w:rsid w:val="005952BE"/>
    <w:rsid w:val="0059594D"/>
    <w:rsid w:val="0059627F"/>
    <w:rsid w:val="005A2D63"/>
    <w:rsid w:val="005A3011"/>
    <w:rsid w:val="005A3CDD"/>
    <w:rsid w:val="005A419C"/>
    <w:rsid w:val="005B29BC"/>
    <w:rsid w:val="005B4D77"/>
    <w:rsid w:val="005B69A6"/>
    <w:rsid w:val="005C1A21"/>
    <w:rsid w:val="005C35AD"/>
    <w:rsid w:val="005C51B2"/>
    <w:rsid w:val="005D22B2"/>
    <w:rsid w:val="005D2BA7"/>
    <w:rsid w:val="005D2F69"/>
    <w:rsid w:val="005D72AD"/>
    <w:rsid w:val="005D7963"/>
    <w:rsid w:val="005E2C50"/>
    <w:rsid w:val="005E4682"/>
    <w:rsid w:val="005E692D"/>
    <w:rsid w:val="005F201A"/>
    <w:rsid w:val="005F46B5"/>
    <w:rsid w:val="005F486F"/>
    <w:rsid w:val="005F4FAD"/>
    <w:rsid w:val="0060101E"/>
    <w:rsid w:val="00602939"/>
    <w:rsid w:val="006067EA"/>
    <w:rsid w:val="00610E9E"/>
    <w:rsid w:val="006111F2"/>
    <w:rsid w:val="00615885"/>
    <w:rsid w:val="006166C7"/>
    <w:rsid w:val="00620A4F"/>
    <w:rsid w:val="00620F72"/>
    <w:rsid w:val="00623408"/>
    <w:rsid w:val="00623BFD"/>
    <w:rsid w:val="006245DA"/>
    <w:rsid w:val="0062631F"/>
    <w:rsid w:val="0062642B"/>
    <w:rsid w:val="00627464"/>
    <w:rsid w:val="00627B94"/>
    <w:rsid w:val="0063123B"/>
    <w:rsid w:val="0063183B"/>
    <w:rsid w:val="0063231F"/>
    <w:rsid w:val="00634446"/>
    <w:rsid w:val="00634CBD"/>
    <w:rsid w:val="00635F8F"/>
    <w:rsid w:val="00635FA4"/>
    <w:rsid w:val="006369AC"/>
    <w:rsid w:val="00637069"/>
    <w:rsid w:val="00640B39"/>
    <w:rsid w:val="006424EC"/>
    <w:rsid w:val="00650E61"/>
    <w:rsid w:val="00651CB5"/>
    <w:rsid w:val="0065256A"/>
    <w:rsid w:val="006542A5"/>
    <w:rsid w:val="00655ED0"/>
    <w:rsid w:val="00657C44"/>
    <w:rsid w:val="00665791"/>
    <w:rsid w:val="00666F56"/>
    <w:rsid w:val="0067280A"/>
    <w:rsid w:val="00672EC8"/>
    <w:rsid w:val="00673C78"/>
    <w:rsid w:val="00676EC3"/>
    <w:rsid w:val="00682D5D"/>
    <w:rsid w:val="00686575"/>
    <w:rsid w:val="00686797"/>
    <w:rsid w:val="0069369C"/>
    <w:rsid w:val="00693A5D"/>
    <w:rsid w:val="006A1B0D"/>
    <w:rsid w:val="006A1B39"/>
    <w:rsid w:val="006A3D5C"/>
    <w:rsid w:val="006A3F90"/>
    <w:rsid w:val="006A5107"/>
    <w:rsid w:val="006A6FF2"/>
    <w:rsid w:val="006B044D"/>
    <w:rsid w:val="006B0F0D"/>
    <w:rsid w:val="006B1CF9"/>
    <w:rsid w:val="006B3D53"/>
    <w:rsid w:val="006B47EE"/>
    <w:rsid w:val="006B779D"/>
    <w:rsid w:val="006C0387"/>
    <w:rsid w:val="006C0AE5"/>
    <w:rsid w:val="006C21A8"/>
    <w:rsid w:val="006C4A5D"/>
    <w:rsid w:val="006C5EDC"/>
    <w:rsid w:val="006C6BAA"/>
    <w:rsid w:val="006C73EC"/>
    <w:rsid w:val="006C7B3A"/>
    <w:rsid w:val="006D1D65"/>
    <w:rsid w:val="006D408B"/>
    <w:rsid w:val="006E0E0C"/>
    <w:rsid w:val="006E2F87"/>
    <w:rsid w:val="006E5250"/>
    <w:rsid w:val="006E7462"/>
    <w:rsid w:val="006E760F"/>
    <w:rsid w:val="006F04A3"/>
    <w:rsid w:val="006F1A01"/>
    <w:rsid w:val="006F28BC"/>
    <w:rsid w:val="006F300C"/>
    <w:rsid w:val="006F52F5"/>
    <w:rsid w:val="006F6260"/>
    <w:rsid w:val="006F7686"/>
    <w:rsid w:val="006F79DD"/>
    <w:rsid w:val="007002F8"/>
    <w:rsid w:val="0070090F"/>
    <w:rsid w:val="00703367"/>
    <w:rsid w:val="00707039"/>
    <w:rsid w:val="007122FD"/>
    <w:rsid w:val="00713580"/>
    <w:rsid w:val="007138A4"/>
    <w:rsid w:val="00715D6B"/>
    <w:rsid w:val="007166DE"/>
    <w:rsid w:val="007204C1"/>
    <w:rsid w:val="007218E1"/>
    <w:rsid w:val="00722DEC"/>
    <w:rsid w:val="00723138"/>
    <w:rsid w:val="00724A1F"/>
    <w:rsid w:val="007314D4"/>
    <w:rsid w:val="007317E0"/>
    <w:rsid w:val="0073193D"/>
    <w:rsid w:val="0073487E"/>
    <w:rsid w:val="00740478"/>
    <w:rsid w:val="00740A8A"/>
    <w:rsid w:val="007415F0"/>
    <w:rsid w:val="00742DDD"/>
    <w:rsid w:val="00744921"/>
    <w:rsid w:val="00747D3F"/>
    <w:rsid w:val="00750FE3"/>
    <w:rsid w:val="0075360F"/>
    <w:rsid w:val="0075417E"/>
    <w:rsid w:val="0076020A"/>
    <w:rsid w:val="0076174E"/>
    <w:rsid w:val="00764495"/>
    <w:rsid w:val="00764561"/>
    <w:rsid w:val="00764978"/>
    <w:rsid w:val="00764F37"/>
    <w:rsid w:val="007708C6"/>
    <w:rsid w:val="00771D41"/>
    <w:rsid w:val="007721C4"/>
    <w:rsid w:val="0077280F"/>
    <w:rsid w:val="0077379F"/>
    <w:rsid w:val="00773918"/>
    <w:rsid w:val="00776283"/>
    <w:rsid w:val="007810E0"/>
    <w:rsid w:val="007814B9"/>
    <w:rsid w:val="007971BF"/>
    <w:rsid w:val="007A2E1B"/>
    <w:rsid w:val="007A345A"/>
    <w:rsid w:val="007B0257"/>
    <w:rsid w:val="007B1A80"/>
    <w:rsid w:val="007B221F"/>
    <w:rsid w:val="007B4FA2"/>
    <w:rsid w:val="007B7EDD"/>
    <w:rsid w:val="007C05A7"/>
    <w:rsid w:val="007C1CDE"/>
    <w:rsid w:val="007C2A32"/>
    <w:rsid w:val="007C3E83"/>
    <w:rsid w:val="007C4028"/>
    <w:rsid w:val="007C6D48"/>
    <w:rsid w:val="007D3717"/>
    <w:rsid w:val="007D54B9"/>
    <w:rsid w:val="007D5FCD"/>
    <w:rsid w:val="007D6643"/>
    <w:rsid w:val="007D776B"/>
    <w:rsid w:val="007E01D2"/>
    <w:rsid w:val="007E19DC"/>
    <w:rsid w:val="007F3D78"/>
    <w:rsid w:val="007F4437"/>
    <w:rsid w:val="007F4A98"/>
    <w:rsid w:val="007F4C89"/>
    <w:rsid w:val="007F5695"/>
    <w:rsid w:val="0080242C"/>
    <w:rsid w:val="00802CD8"/>
    <w:rsid w:val="00803448"/>
    <w:rsid w:val="00805018"/>
    <w:rsid w:val="00807B0B"/>
    <w:rsid w:val="008114A2"/>
    <w:rsid w:val="00813ADC"/>
    <w:rsid w:val="008145F2"/>
    <w:rsid w:val="008165C2"/>
    <w:rsid w:val="008211C0"/>
    <w:rsid w:val="00823499"/>
    <w:rsid w:val="00823D2F"/>
    <w:rsid w:val="008253C0"/>
    <w:rsid w:val="00825B03"/>
    <w:rsid w:val="00827BEE"/>
    <w:rsid w:val="008315A0"/>
    <w:rsid w:val="008316D6"/>
    <w:rsid w:val="00831C58"/>
    <w:rsid w:val="00831E6C"/>
    <w:rsid w:val="0083342E"/>
    <w:rsid w:val="00834EF1"/>
    <w:rsid w:val="00835A98"/>
    <w:rsid w:val="008368CB"/>
    <w:rsid w:val="00841AC0"/>
    <w:rsid w:val="00841D91"/>
    <w:rsid w:val="00843715"/>
    <w:rsid w:val="00844552"/>
    <w:rsid w:val="0085243E"/>
    <w:rsid w:val="008526C5"/>
    <w:rsid w:val="00852FB6"/>
    <w:rsid w:val="00852FD1"/>
    <w:rsid w:val="008554FB"/>
    <w:rsid w:val="00855570"/>
    <w:rsid w:val="00855907"/>
    <w:rsid w:val="00857AC9"/>
    <w:rsid w:val="00857C43"/>
    <w:rsid w:val="00857F3A"/>
    <w:rsid w:val="00861E79"/>
    <w:rsid w:val="008637E6"/>
    <w:rsid w:val="008645AC"/>
    <w:rsid w:val="00865714"/>
    <w:rsid w:val="00866FD9"/>
    <w:rsid w:val="00870C38"/>
    <w:rsid w:val="00876421"/>
    <w:rsid w:val="008815F2"/>
    <w:rsid w:val="008839BB"/>
    <w:rsid w:val="00883E9F"/>
    <w:rsid w:val="00884DD1"/>
    <w:rsid w:val="00885A24"/>
    <w:rsid w:val="00886963"/>
    <w:rsid w:val="008875BA"/>
    <w:rsid w:val="0089078B"/>
    <w:rsid w:val="008964C1"/>
    <w:rsid w:val="00896A7F"/>
    <w:rsid w:val="0089710F"/>
    <w:rsid w:val="008A0529"/>
    <w:rsid w:val="008A07E9"/>
    <w:rsid w:val="008A23C5"/>
    <w:rsid w:val="008A3266"/>
    <w:rsid w:val="008A36BA"/>
    <w:rsid w:val="008A46F9"/>
    <w:rsid w:val="008A6027"/>
    <w:rsid w:val="008A626F"/>
    <w:rsid w:val="008A674E"/>
    <w:rsid w:val="008A78C0"/>
    <w:rsid w:val="008A7F84"/>
    <w:rsid w:val="008B0E99"/>
    <w:rsid w:val="008B13C3"/>
    <w:rsid w:val="008B1838"/>
    <w:rsid w:val="008B201B"/>
    <w:rsid w:val="008B3F8D"/>
    <w:rsid w:val="008B739B"/>
    <w:rsid w:val="008B7DE7"/>
    <w:rsid w:val="008C0398"/>
    <w:rsid w:val="008C1BEA"/>
    <w:rsid w:val="008C1BFD"/>
    <w:rsid w:val="008C4609"/>
    <w:rsid w:val="008C4C09"/>
    <w:rsid w:val="008C4EF3"/>
    <w:rsid w:val="008C5A22"/>
    <w:rsid w:val="008C7A92"/>
    <w:rsid w:val="008D2C2A"/>
    <w:rsid w:val="008D30E6"/>
    <w:rsid w:val="008D325A"/>
    <w:rsid w:val="008D3B25"/>
    <w:rsid w:val="008D68C6"/>
    <w:rsid w:val="008D7180"/>
    <w:rsid w:val="008D7BDB"/>
    <w:rsid w:val="008E0E66"/>
    <w:rsid w:val="008E23BE"/>
    <w:rsid w:val="008E49CB"/>
    <w:rsid w:val="008E5D6E"/>
    <w:rsid w:val="008E6624"/>
    <w:rsid w:val="008F27E4"/>
    <w:rsid w:val="008F476B"/>
    <w:rsid w:val="008F5A87"/>
    <w:rsid w:val="008F65AF"/>
    <w:rsid w:val="00903942"/>
    <w:rsid w:val="00904443"/>
    <w:rsid w:val="00905A67"/>
    <w:rsid w:val="00906966"/>
    <w:rsid w:val="00907D37"/>
    <w:rsid w:val="00910BDB"/>
    <w:rsid w:val="009132D4"/>
    <w:rsid w:val="00916B40"/>
    <w:rsid w:val="00917402"/>
    <w:rsid w:val="0091798A"/>
    <w:rsid w:val="009208D1"/>
    <w:rsid w:val="00920906"/>
    <w:rsid w:val="0092293B"/>
    <w:rsid w:val="00923C8A"/>
    <w:rsid w:val="00923D4F"/>
    <w:rsid w:val="00923DD0"/>
    <w:rsid w:val="009258F6"/>
    <w:rsid w:val="009263C8"/>
    <w:rsid w:val="009263D6"/>
    <w:rsid w:val="00933EFE"/>
    <w:rsid w:val="00941801"/>
    <w:rsid w:val="00941B6B"/>
    <w:rsid w:val="009429E7"/>
    <w:rsid w:val="00946716"/>
    <w:rsid w:val="009477D9"/>
    <w:rsid w:val="0095007D"/>
    <w:rsid w:val="00950323"/>
    <w:rsid w:val="00951E3D"/>
    <w:rsid w:val="0095251D"/>
    <w:rsid w:val="00957CDE"/>
    <w:rsid w:val="0096182D"/>
    <w:rsid w:val="00962238"/>
    <w:rsid w:val="00962DFC"/>
    <w:rsid w:val="00964805"/>
    <w:rsid w:val="00967C6A"/>
    <w:rsid w:val="00970316"/>
    <w:rsid w:val="00970D12"/>
    <w:rsid w:val="0097125F"/>
    <w:rsid w:val="0097257A"/>
    <w:rsid w:val="00975F12"/>
    <w:rsid w:val="00977A96"/>
    <w:rsid w:val="00986333"/>
    <w:rsid w:val="0098705C"/>
    <w:rsid w:val="00987883"/>
    <w:rsid w:val="00992297"/>
    <w:rsid w:val="009945ED"/>
    <w:rsid w:val="00994CD0"/>
    <w:rsid w:val="00995DB3"/>
    <w:rsid w:val="009A0FAD"/>
    <w:rsid w:val="009A569F"/>
    <w:rsid w:val="009A75E4"/>
    <w:rsid w:val="009A7E56"/>
    <w:rsid w:val="009B0579"/>
    <w:rsid w:val="009B0C4A"/>
    <w:rsid w:val="009B0C81"/>
    <w:rsid w:val="009B45C3"/>
    <w:rsid w:val="009C4773"/>
    <w:rsid w:val="009C483E"/>
    <w:rsid w:val="009C5916"/>
    <w:rsid w:val="009C7D0F"/>
    <w:rsid w:val="009D2100"/>
    <w:rsid w:val="009D2D81"/>
    <w:rsid w:val="009E12C0"/>
    <w:rsid w:val="009E1F4B"/>
    <w:rsid w:val="009E50C6"/>
    <w:rsid w:val="009E63D4"/>
    <w:rsid w:val="009F222D"/>
    <w:rsid w:val="009F4D40"/>
    <w:rsid w:val="009F5AC5"/>
    <w:rsid w:val="009F619B"/>
    <w:rsid w:val="00A00A18"/>
    <w:rsid w:val="00A01EE5"/>
    <w:rsid w:val="00A026E4"/>
    <w:rsid w:val="00A04CCF"/>
    <w:rsid w:val="00A04D48"/>
    <w:rsid w:val="00A0577E"/>
    <w:rsid w:val="00A0656B"/>
    <w:rsid w:val="00A0677C"/>
    <w:rsid w:val="00A06EEC"/>
    <w:rsid w:val="00A072DD"/>
    <w:rsid w:val="00A11F45"/>
    <w:rsid w:val="00A16D1C"/>
    <w:rsid w:val="00A24A93"/>
    <w:rsid w:val="00A2521B"/>
    <w:rsid w:val="00A25EA7"/>
    <w:rsid w:val="00A27CBC"/>
    <w:rsid w:val="00A303C4"/>
    <w:rsid w:val="00A31259"/>
    <w:rsid w:val="00A33350"/>
    <w:rsid w:val="00A35CE6"/>
    <w:rsid w:val="00A35E7B"/>
    <w:rsid w:val="00A36FFE"/>
    <w:rsid w:val="00A419D4"/>
    <w:rsid w:val="00A434FD"/>
    <w:rsid w:val="00A446DA"/>
    <w:rsid w:val="00A4525C"/>
    <w:rsid w:val="00A45781"/>
    <w:rsid w:val="00A50CBF"/>
    <w:rsid w:val="00A52734"/>
    <w:rsid w:val="00A52FE3"/>
    <w:rsid w:val="00A553B6"/>
    <w:rsid w:val="00A60B6E"/>
    <w:rsid w:val="00A6185F"/>
    <w:rsid w:val="00A61C7F"/>
    <w:rsid w:val="00A626FC"/>
    <w:rsid w:val="00A62B37"/>
    <w:rsid w:val="00A62CC2"/>
    <w:rsid w:val="00A63856"/>
    <w:rsid w:val="00A70884"/>
    <w:rsid w:val="00A710B2"/>
    <w:rsid w:val="00A71777"/>
    <w:rsid w:val="00A71884"/>
    <w:rsid w:val="00A72022"/>
    <w:rsid w:val="00A72999"/>
    <w:rsid w:val="00A73245"/>
    <w:rsid w:val="00A73BBA"/>
    <w:rsid w:val="00A73FD8"/>
    <w:rsid w:val="00A7444E"/>
    <w:rsid w:val="00A751D3"/>
    <w:rsid w:val="00A76F1D"/>
    <w:rsid w:val="00A806C2"/>
    <w:rsid w:val="00A81048"/>
    <w:rsid w:val="00A8129E"/>
    <w:rsid w:val="00A84BA5"/>
    <w:rsid w:val="00A84BF3"/>
    <w:rsid w:val="00A85DCA"/>
    <w:rsid w:val="00A868DD"/>
    <w:rsid w:val="00A90438"/>
    <w:rsid w:val="00A913E0"/>
    <w:rsid w:val="00A96DA0"/>
    <w:rsid w:val="00AA2818"/>
    <w:rsid w:val="00AA3B72"/>
    <w:rsid w:val="00AA4359"/>
    <w:rsid w:val="00AA543B"/>
    <w:rsid w:val="00AA5ACA"/>
    <w:rsid w:val="00AA6604"/>
    <w:rsid w:val="00AA7065"/>
    <w:rsid w:val="00AA75D5"/>
    <w:rsid w:val="00AA7E0A"/>
    <w:rsid w:val="00AB03FE"/>
    <w:rsid w:val="00AB0B6C"/>
    <w:rsid w:val="00AB2A94"/>
    <w:rsid w:val="00AB3B96"/>
    <w:rsid w:val="00AB3DF0"/>
    <w:rsid w:val="00AB4F32"/>
    <w:rsid w:val="00AB58B2"/>
    <w:rsid w:val="00AB760A"/>
    <w:rsid w:val="00AC4C6A"/>
    <w:rsid w:val="00AC5167"/>
    <w:rsid w:val="00AD0D79"/>
    <w:rsid w:val="00AD0F5C"/>
    <w:rsid w:val="00AD369B"/>
    <w:rsid w:val="00AD48AD"/>
    <w:rsid w:val="00AD6890"/>
    <w:rsid w:val="00AD753B"/>
    <w:rsid w:val="00AD7B0D"/>
    <w:rsid w:val="00AD7E86"/>
    <w:rsid w:val="00AE1225"/>
    <w:rsid w:val="00AE20DF"/>
    <w:rsid w:val="00AE29A7"/>
    <w:rsid w:val="00AF246E"/>
    <w:rsid w:val="00AF479D"/>
    <w:rsid w:val="00AF504A"/>
    <w:rsid w:val="00AF635B"/>
    <w:rsid w:val="00AF75C8"/>
    <w:rsid w:val="00B00C54"/>
    <w:rsid w:val="00B00EE9"/>
    <w:rsid w:val="00B030E6"/>
    <w:rsid w:val="00B059FD"/>
    <w:rsid w:val="00B07332"/>
    <w:rsid w:val="00B20E51"/>
    <w:rsid w:val="00B219F9"/>
    <w:rsid w:val="00B23528"/>
    <w:rsid w:val="00B27C68"/>
    <w:rsid w:val="00B305F0"/>
    <w:rsid w:val="00B31DEE"/>
    <w:rsid w:val="00B346F4"/>
    <w:rsid w:val="00B34DD8"/>
    <w:rsid w:val="00B36E5C"/>
    <w:rsid w:val="00B42710"/>
    <w:rsid w:val="00B43721"/>
    <w:rsid w:val="00B44194"/>
    <w:rsid w:val="00B47060"/>
    <w:rsid w:val="00B47693"/>
    <w:rsid w:val="00B50CD0"/>
    <w:rsid w:val="00B57895"/>
    <w:rsid w:val="00B57992"/>
    <w:rsid w:val="00B60E31"/>
    <w:rsid w:val="00B63ADF"/>
    <w:rsid w:val="00B70CD3"/>
    <w:rsid w:val="00B7298C"/>
    <w:rsid w:val="00B73A04"/>
    <w:rsid w:val="00B7429A"/>
    <w:rsid w:val="00B74631"/>
    <w:rsid w:val="00B74646"/>
    <w:rsid w:val="00B75C45"/>
    <w:rsid w:val="00B76664"/>
    <w:rsid w:val="00B76838"/>
    <w:rsid w:val="00B8095D"/>
    <w:rsid w:val="00B81622"/>
    <w:rsid w:val="00B831B3"/>
    <w:rsid w:val="00B8386D"/>
    <w:rsid w:val="00B8604A"/>
    <w:rsid w:val="00B861FE"/>
    <w:rsid w:val="00B924C4"/>
    <w:rsid w:val="00B92CC7"/>
    <w:rsid w:val="00B92CE9"/>
    <w:rsid w:val="00B9389A"/>
    <w:rsid w:val="00B955BA"/>
    <w:rsid w:val="00B96A56"/>
    <w:rsid w:val="00B96F7B"/>
    <w:rsid w:val="00BA1F2C"/>
    <w:rsid w:val="00BA2F0B"/>
    <w:rsid w:val="00BA32AD"/>
    <w:rsid w:val="00BA4771"/>
    <w:rsid w:val="00BA4AF0"/>
    <w:rsid w:val="00BA4E68"/>
    <w:rsid w:val="00BA5289"/>
    <w:rsid w:val="00BA6421"/>
    <w:rsid w:val="00BA76B5"/>
    <w:rsid w:val="00BB017B"/>
    <w:rsid w:val="00BB01AD"/>
    <w:rsid w:val="00BB1FB2"/>
    <w:rsid w:val="00BB34F9"/>
    <w:rsid w:val="00BB58A2"/>
    <w:rsid w:val="00BC126B"/>
    <w:rsid w:val="00BC32A7"/>
    <w:rsid w:val="00BC49BB"/>
    <w:rsid w:val="00BD4970"/>
    <w:rsid w:val="00BD4E67"/>
    <w:rsid w:val="00BD6E84"/>
    <w:rsid w:val="00BD750D"/>
    <w:rsid w:val="00BE0058"/>
    <w:rsid w:val="00BE0862"/>
    <w:rsid w:val="00BE148F"/>
    <w:rsid w:val="00BE2C40"/>
    <w:rsid w:val="00BE3190"/>
    <w:rsid w:val="00BE3905"/>
    <w:rsid w:val="00BE429F"/>
    <w:rsid w:val="00BE5AA8"/>
    <w:rsid w:val="00BE70CF"/>
    <w:rsid w:val="00BF358E"/>
    <w:rsid w:val="00BF5F1D"/>
    <w:rsid w:val="00BF689F"/>
    <w:rsid w:val="00C008DD"/>
    <w:rsid w:val="00C01A5B"/>
    <w:rsid w:val="00C02697"/>
    <w:rsid w:val="00C02E8C"/>
    <w:rsid w:val="00C037A6"/>
    <w:rsid w:val="00C03F8A"/>
    <w:rsid w:val="00C05D24"/>
    <w:rsid w:val="00C1004C"/>
    <w:rsid w:val="00C110DF"/>
    <w:rsid w:val="00C1274F"/>
    <w:rsid w:val="00C13F6C"/>
    <w:rsid w:val="00C16295"/>
    <w:rsid w:val="00C17391"/>
    <w:rsid w:val="00C200D7"/>
    <w:rsid w:val="00C217A0"/>
    <w:rsid w:val="00C24A2E"/>
    <w:rsid w:val="00C25CFC"/>
    <w:rsid w:val="00C31029"/>
    <w:rsid w:val="00C32FE1"/>
    <w:rsid w:val="00C36956"/>
    <w:rsid w:val="00C40577"/>
    <w:rsid w:val="00C405CB"/>
    <w:rsid w:val="00C43658"/>
    <w:rsid w:val="00C43770"/>
    <w:rsid w:val="00C4502F"/>
    <w:rsid w:val="00C46047"/>
    <w:rsid w:val="00C50F78"/>
    <w:rsid w:val="00C52B1A"/>
    <w:rsid w:val="00C540E0"/>
    <w:rsid w:val="00C55ABE"/>
    <w:rsid w:val="00C57D84"/>
    <w:rsid w:val="00C639B5"/>
    <w:rsid w:val="00C64CDB"/>
    <w:rsid w:val="00C666BF"/>
    <w:rsid w:val="00C673BD"/>
    <w:rsid w:val="00C70AB8"/>
    <w:rsid w:val="00C71472"/>
    <w:rsid w:val="00C7337F"/>
    <w:rsid w:val="00C742D9"/>
    <w:rsid w:val="00C75C1A"/>
    <w:rsid w:val="00C77FF1"/>
    <w:rsid w:val="00C84657"/>
    <w:rsid w:val="00C86880"/>
    <w:rsid w:val="00C86E98"/>
    <w:rsid w:val="00C90543"/>
    <w:rsid w:val="00C935B4"/>
    <w:rsid w:val="00C9386D"/>
    <w:rsid w:val="00C9729E"/>
    <w:rsid w:val="00CA06E7"/>
    <w:rsid w:val="00CA3C3D"/>
    <w:rsid w:val="00CA3CCA"/>
    <w:rsid w:val="00CB0024"/>
    <w:rsid w:val="00CB3F3F"/>
    <w:rsid w:val="00CB44FE"/>
    <w:rsid w:val="00CB5B17"/>
    <w:rsid w:val="00CC33AB"/>
    <w:rsid w:val="00CC48D0"/>
    <w:rsid w:val="00CC5289"/>
    <w:rsid w:val="00CC56E7"/>
    <w:rsid w:val="00CC6F6E"/>
    <w:rsid w:val="00CD09E7"/>
    <w:rsid w:val="00CD12D8"/>
    <w:rsid w:val="00CD2F98"/>
    <w:rsid w:val="00CD33F3"/>
    <w:rsid w:val="00CD3AD6"/>
    <w:rsid w:val="00CE0D35"/>
    <w:rsid w:val="00CE1F09"/>
    <w:rsid w:val="00CE25C5"/>
    <w:rsid w:val="00CE3711"/>
    <w:rsid w:val="00CE4186"/>
    <w:rsid w:val="00CF2087"/>
    <w:rsid w:val="00CF227B"/>
    <w:rsid w:val="00CF2D53"/>
    <w:rsid w:val="00CF3432"/>
    <w:rsid w:val="00CF46B5"/>
    <w:rsid w:val="00CF55D5"/>
    <w:rsid w:val="00CF5871"/>
    <w:rsid w:val="00D00583"/>
    <w:rsid w:val="00D009DD"/>
    <w:rsid w:val="00D0292A"/>
    <w:rsid w:val="00D031EB"/>
    <w:rsid w:val="00D07D46"/>
    <w:rsid w:val="00D108D2"/>
    <w:rsid w:val="00D12835"/>
    <w:rsid w:val="00D130EB"/>
    <w:rsid w:val="00D14104"/>
    <w:rsid w:val="00D204C5"/>
    <w:rsid w:val="00D20F6F"/>
    <w:rsid w:val="00D21BBD"/>
    <w:rsid w:val="00D2238A"/>
    <w:rsid w:val="00D236C8"/>
    <w:rsid w:val="00D24914"/>
    <w:rsid w:val="00D24AB2"/>
    <w:rsid w:val="00D27857"/>
    <w:rsid w:val="00D30E85"/>
    <w:rsid w:val="00D326D7"/>
    <w:rsid w:val="00D336E0"/>
    <w:rsid w:val="00D340BE"/>
    <w:rsid w:val="00D36275"/>
    <w:rsid w:val="00D40B52"/>
    <w:rsid w:val="00D4124B"/>
    <w:rsid w:val="00D427F2"/>
    <w:rsid w:val="00D42CCC"/>
    <w:rsid w:val="00D43E68"/>
    <w:rsid w:val="00D443FB"/>
    <w:rsid w:val="00D45042"/>
    <w:rsid w:val="00D45F47"/>
    <w:rsid w:val="00D47FCB"/>
    <w:rsid w:val="00D50FFB"/>
    <w:rsid w:val="00D52EC6"/>
    <w:rsid w:val="00D54453"/>
    <w:rsid w:val="00D54AD0"/>
    <w:rsid w:val="00D556BF"/>
    <w:rsid w:val="00D60710"/>
    <w:rsid w:val="00D61798"/>
    <w:rsid w:val="00D62CB1"/>
    <w:rsid w:val="00D651F4"/>
    <w:rsid w:val="00D66F7F"/>
    <w:rsid w:val="00D67591"/>
    <w:rsid w:val="00D67634"/>
    <w:rsid w:val="00D71F81"/>
    <w:rsid w:val="00D726F9"/>
    <w:rsid w:val="00D731D5"/>
    <w:rsid w:val="00D753F8"/>
    <w:rsid w:val="00D756A9"/>
    <w:rsid w:val="00D769E1"/>
    <w:rsid w:val="00D76AAD"/>
    <w:rsid w:val="00D77944"/>
    <w:rsid w:val="00D81F8C"/>
    <w:rsid w:val="00D84579"/>
    <w:rsid w:val="00D859D5"/>
    <w:rsid w:val="00D85C5E"/>
    <w:rsid w:val="00D875E6"/>
    <w:rsid w:val="00D9179B"/>
    <w:rsid w:val="00D91E89"/>
    <w:rsid w:val="00D926DE"/>
    <w:rsid w:val="00D936F8"/>
    <w:rsid w:val="00D94D4A"/>
    <w:rsid w:val="00D97724"/>
    <w:rsid w:val="00DA17FB"/>
    <w:rsid w:val="00DA2027"/>
    <w:rsid w:val="00DA469D"/>
    <w:rsid w:val="00DB12A6"/>
    <w:rsid w:val="00DB12D6"/>
    <w:rsid w:val="00DB1A8E"/>
    <w:rsid w:val="00DB2818"/>
    <w:rsid w:val="00DB50D0"/>
    <w:rsid w:val="00DB5D05"/>
    <w:rsid w:val="00DB6A18"/>
    <w:rsid w:val="00DC2A33"/>
    <w:rsid w:val="00DC3ABD"/>
    <w:rsid w:val="00DC5C27"/>
    <w:rsid w:val="00DC6F52"/>
    <w:rsid w:val="00DC74C5"/>
    <w:rsid w:val="00DD0C90"/>
    <w:rsid w:val="00DD491C"/>
    <w:rsid w:val="00DE03E4"/>
    <w:rsid w:val="00DE0652"/>
    <w:rsid w:val="00DE20EE"/>
    <w:rsid w:val="00DE2591"/>
    <w:rsid w:val="00DE3CE2"/>
    <w:rsid w:val="00DE4754"/>
    <w:rsid w:val="00DE49F7"/>
    <w:rsid w:val="00DE5AD0"/>
    <w:rsid w:val="00DE6920"/>
    <w:rsid w:val="00DF05E9"/>
    <w:rsid w:val="00DF1D1A"/>
    <w:rsid w:val="00DF334B"/>
    <w:rsid w:val="00E01E6C"/>
    <w:rsid w:val="00E02DA9"/>
    <w:rsid w:val="00E03B22"/>
    <w:rsid w:val="00E03C4C"/>
    <w:rsid w:val="00E03D59"/>
    <w:rsid w:val="00E04C1F"/>
    <w:rsid w:val="00E05DA2"/>
    <w:rsid w:val="00E0700B"/>
    <w:rsid w:val="00E07042"/>
    <w:rsid w:val="00E1084C"/>
    <w:rsid w:val="00E10C1E"/>
    <w:rsid w:val="00E11510"/>
    <w:rsid w:val="00E14EB9"/>
    <w:rsid w:val="00E1723C"/>
    <w:rsid w:val="00E2021E"/>
    <w:rsid w:val="00E2162E"/>
    <w:rsid w:val="00E21A15"/>
    <w:rsid w:val="00E2483F"/>
    <w:rsid w:val="00E27BC2"/>
    <w:rsid w:val="00E311CA"/>
    <w:rsid w:val="00E3265B"/>
    <w:rsid w:val="00E330F9"/>
    <w:rsid w:val="00E34508"/>
    <w:rsid w:val="00E34747"/>
    <w:rsid w:val="00E3579F"/>
    <w:rsid w:val="00E37814"/>
    <w:rsid w:val="00E415C5"/>
    <w:rsid w:val="00E44F9D"/>
    <w:rsid w:val="00E45907"/>
    <w:rsid w:val="00E461AE"/>
    <w:rsid w:val="00E53B98"/>
    <w:rsid w:val="00E56D5B"/>
    <w:rsid w:val="00E61005"/>
    <w:rsid w:val="00E622CA"/>
    <w:rsid w:val="00E64CC6"/>
    <w:rsid w:val="00E66CAB"/>
    <w:rsid w:val="00E718B3"/>
    <w:rsid w:val="00E71B2D"/>
    <w:rsid w:val="00E74B97"/>
    <w:rsid w:val="00E76712"/>
    <w:rsid w:val="00E768A0"/>
    <w:rsid w:val="00E8091B"/>
    <w:rsid w:val="00E8200C"/>
    <w:rsid w:val="00E84361"/>
    <w:rsid w:val="00E84A0C"/>
    <w:rsid w:val="00E8586B"/>
    <w:rsid w:val="00E862DE"/>
    <w:rsid w:val="00E86FF7"/>
    <w:rsid w:val="00E903EF"/>
    <w:rsid w:val="00E90438"/>
    <w:rsid w:val="00E90E54"/>
    <w:rsid w:val="00E91058"/>
    <w:rsid w:val="00E92146"/>
    <w:rsid w:val="00E9417F"/>
    <w:rsid w:val="00E94DE0"/>
    <w:rsid w:val="00EA020B"/>
    <w:rsid w:val="00EA0B7F"/>
    <w:rsid w:val="00EA228C"/>
    <w:rsid w:val="00EA236B"/>
    <w:rsid w:val="00EA3753"/>
    <w:rsid w:val="00EA4347"/>
    <w:rsid w:val="00EA5B6D"/>
    <w:rsid w:val="00EA7776"/>
    <w:rsid w:val="00EB02BE"/>
    <w:rsid w:val="00EB27B2"/>
    <w:rsid w:val="00EB2899"/>
    <w:rsid w:val="00EB330F"/>
    <w:rsid w:val="00EB7229"/>
    <w:rsid w:val="00EC15D3"/>
    <w:rsid w:val="00EC1ACB"/>
    <w:rsid w:val="00EC2D62"/>
    <w:rsid w:val="00EC3F88"/>
    <w:rsid w:val="00EC60F9"/>
    <w:rsid w:val="00ED004C"/>
    <w:rsid w:val="00ED01D0"/>
    <w:rsid w:val="00ED1CBB"/>
    <w:rsid w:val="00ED2CB5"/>
    <w:rsid w:val="00ED2E6F"/>
    <w:rsid w:val="00ED4220"/>
    <w:rsid w:val="00ED4E2F"/>
    <w:rsid w:val="00ED50E6"/>
    <w:rsid w:val="00ED6CF7"/>
    <w:rsid w:val="00ED7DB3"/>
    <w:rsid w:val="00ED7E5B"/>
    <w:rsid w:val="00EE0568"/>
    <w:rsid w:val="00EE05FC"/>
    <w:rsid w:val="00EE1189"/>
    <w:rsid w:val="00EE5251"/>
    <w:rsid w:val="00EE528D"/>
    <w:rsid w:val="00EE6C33"/>
    <w:rsid w:val="00EE6DB8"/>
    <w:rsid w:val="00EE70FE"/>
    <w:rsid w:val="00EF00A4"/>
    <w:rsid w:val="00EF0E85"/>
    <w:rsid w:val="00EF1810"/>
    <w:rsid w:val="00EF2B6D"/>
    <w:rsid w:val="00EF302F"/>
    <w:rsid w:val="00EF540C"/>
    <w:rsid w:val="00F00755"/>
    <w:rsid w:val="00F00938"/>
    <w:rsid w:val="00F00BEB"/>
    <w:rsid w:val="00F02015"/>
    <w:rsid w:val="00F05B87"/>
    <w:rsid w:val="00F06B67"/>
    <w:rsid w:val="00F074DB"/>
    <w:rsid w:val="00F10AFC"/>
    <w:rsid w:val="00F12D3D"/>
    <w:rsid w:val="00F13540"/>
    <w:rsid w:val="00F14FB2"/>
    <w:rsid w:val="00F15F78"/>
    <w:rsid w:val="00F16ADF"/>
    <w:rsid w:val="00F17644"/>
    <w:rsid w:val="00F20617"/>
    <w:rsid w:val="00F21E2E"/>
    <w:rsid w:val="00F2326F"/>
    <w:rsid w:val="00F2576A"/>
    <w:rsid w:val="00F25800"/>
    <w:rsid w:val="00F26E9F"/>
    <w:rsid w:val="00F27D53"/>
    <w:rsid w:val="00F31282"/>
    <w:rsid w:val="00F314B7"/>
    <w:rsid w:val="00F31F09"/>
    <w:rsid w:val="00F322A5"/>
    <w:rsid w:val="00F330D9"/>
    <w:rsid w:val="00F34E9E"/>
    <w:rsid w:val="00F34EBF"/>
    <w:rsid w:val="00F361A3"/>
    <w:rsid w:val="00F36F17"/>
    <w:rsid w:val="00F376D9"/>
    <w:rsid w:val="00F37CA9"/>
    <w:rsid w:val="00F43131"/>
    <w:rsid w:val="00F4461F"/>
    <w:rsid w:val="00F46B63"/>
    <w:rsid w:val="00F529E5"/>
    <w:rsid w:val="00F52E69"/>
    <w:rsid w:val="00F53292"/>
    <w:rsid w:val="00F5440A"/>
    <w:rsid w:val="00F544EB"/>
    <w:rsid w:val="00F5450B"/>
    <w:rsid w:val="00F54627"/>
    <w:rsid w:val="00F6326B"/>
    <w:rsid w:val="00F64B24"/>
    <w:rsid w:val="00F66363"/>
    <w:rsid w:val="00F66E55"/>
    <w:rsid w:val="00F66FE5"/>
    <w:rsid w:val="00F7390D"/>
    <w:rsid w:val="00F73ABB"/>
    <w:rsid w:val="00F74311"/>
    <w:rsid w:val="00F75986"/>
    <w:rsid w:val="00F7621D"/>
    <w:rsid w:val="00F76B2A"/>
    <w:rsid w:val="00F80228"/>
    <w:rsid w:val="00F805FB"/>
    <w:rsid w:val="00F80C5C"/>
    <w:rsid w:val="00F856E5"/>
    <w:rsid w:val="00F86BCE"/>
    <w:rsid w:val="00F87999"/>
    <w:rsid w:val="00F9237B"/>
    <w:rsid w:val="00F94E59"/>
    <w:rsid w:val="00FA2510"/>
    <w:rsid w:val="00FA30F4"/>
    <w:rsid w:val="00FA379D"/>
    <w:rsid w:val="00FA3C18"/>
    <w:rsid w:val="00FA72F5"/>
    <w:rsid w:val="00FB1AFD"/>
    <w:rsid w:val="00FB3BA3"/>
    <w:rsid w:val="00FB3F68"/>
    <w:rsid w:val="00FB45B2"/>
    <w:rsid w:val="00FC4147"/>
    <w:rsid w:val="00FC4A76"/>
    <w:rsid w:val="00FC5812"/>
    <w:rsid w:val="00FC60A5"/>
    <w:rsid w:val="00FC78A4"/>
    <w:rsid w:val="00FD1F72"/>
    <w:rsid w:val="00FD2B7F"/>
    <w:rsid w:val="00FD3E77"/>
    <w:rsid w:val="00FD71AB"/>
    <w:rsid w:val="00FD741C"/>
    <w:rsid w:val="00FE080D"/>
    <w:rsid w:val="00FE0A61"/>
    <w:rsid w:val="00FE20AC"/>
    <w:rsid w:val="00FE20B3"/>
    <w:rsid w:val="00FE48CB"/>
    <w:rsid w:val="00FE5D7F"/>
    <w:rsid w:val="00FF766E"/>
    <w:rsid w:val="04463D2B"/>
    <w:rsid w:val="159B37AB"/>
    <w:rsid w:val="1B100797"/>
    <w:rsid w:val="233139A1"/>
    <w:rsid w:val="259D70CC"/>
    <w:rsid w:val="2BAD5B8F"/>
    <w:rsid w:val="3EA3354D"/>
    <w:rsid w:val="3FE67B95"/>
    <w:rsid w:val="52862819"/>
    <w:rsid w:val="55405BF5"/>
    <w:rsid w:val="55894B86"/>
    <w:rsid w:val="57A26D7F"/>
    <w:rsid w:val="6EDA6267"/>
    <w:rsid w:val="71D13952"/>
    <w:rsid w:val="72C214EC"/>
    <w:rsid w:val="749E3893"/>
    <w:rsid w:val="7E3A230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name="heading 4"/>
    <w:lsdException w:qFormat="1" w:unhideWhenUsed="0" w:uiPriority="9" w:semiHidden="0" w:name="heading 5"/>
    <w:lsdException w:qFormat="1" w:uiPriority="9"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0" w:semiHidden="0" w:name="annotation text"/>
    <w:lsdException w:qFormat="1" w:uiPriority="0" w:semiHidden="0"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2"/>
      <w:lang w:val="en-US" w:eastAsia="zh-CN" w:bidi="ar-SA"/>
    </w:rPr>
  </w:style>
  <w:style w:type="paragraph" w:styleId="2">
    <w:name w:val="heading 1"/>
    <w:basedOn w:val="1"/>
    <w:next w:val="1"/>
    <w:link w:val="55"/>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56"/>
    <w:unhideWhenUsed/>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57"/>
    <w:unhideWhenUsed/>
    <w:qFormat/>
    <w:uiPriority w:val="9"/>
    <w:pPr>
      <w:keepNext/>
      <w:keepLines/>
      <w:spacing w:before="260" w:after="260" w:line="416" w:lineRule="auto"/>
      <w:outlineLvl w:val="2"/>
    </w:pPr>
    <w:rPr>
      <w:rFonts w:ascii="Calibri" w:hAnsi="Calibri"/>
      <w:b/>
      <w:bCs/>
      <w:kern w:val="0"/>
      <w:sz w:val="32"/>
      <w:szCs w:val="32"/>
    </w:rPr>
  </w:style>
  <w:style w:type="paragraph" w:styleId="5">
    <w:name w:val="heading 4"/>
    <w:basedOn w:val="1"/>
    <w:next w:val="1"/>
    <w:link w:val="184"/>
    <w:semiHidden/>
    <w:unhideWhenUsed/>
    <w:qFormat/>
    <w:uiPriority w:val="9"/>
    <w:pPr>
      <w:keepNext/>
      <w:keepLines/>
      <w:spacing w:before="280" w:after="290" w:line="376" w:lineRule="auto"/>
      <w:outlineLvl w:val="3"/>
    </w:pPr>
    <w:rPr>
      <w:rFonts w:ascii="Calibri" w:hAnsi="等线 Light"/>
      <w:b/>
      <w:bCs/>
      <w:kern w:val="0"/>
      <w:sz w:val="28"/>
      <w:szCs w:val="28"/>
    </w:rPr>
  </w:style>
  <w:style w:type="paragraph" w:styleId="6">
    <w:name w:val="heading 5"/>
    <w:basedOn w:val="1"/>
    <w:next w:val="1"/>
    <w:link w:val="97"/>
    <w:qFormat/>
    <w:uiPriority w:val="9"/>
    <w:pPr>
      <w:keepNext/>
      <w:keepLines/>
      <w:spacing w:before="280" w:after="290" w:line="376" w:lineRule="auto"/>
      <w:textAlignment w:val="center"/>
      <w:outlineLvl w:val="4"/>
    </w:pPr>
    <w:rPr>
      <w:rFonts w:ascii="宋体-方正超大字符集" w:hAnsi="Calibri" w:eastAsia="宋体-方正超大字符集"/>
      <w:b/>
      <w:bCs/>
      <w:szCs w:val="28"/>
    </w:rPr>
  </w:style>
  <w:style w:type="paragraph" w:styleId="7">
    <w:name w:val="heading 6"/>
    <w:basedOn w:val="1"/>
    <w:next w:val="1"/>
    <w:link w:val="185"/>
    <w:semiHidden/>
    <w:unhideWhenUsed/>
    <w:qFormat/>
    <w:uiPriority w:val="9"/>
    <w:pPr>
      <w:keepNext/>
      <w:keepLines/>
      <w:spacing w:before="240" w:after="64" w:line="320" w:lineRule="auto"/>
      <w:outlineLvl w:val="5"/>
    </w:pPr>
    <w:rPr>
      <w:rFonts w:ascii="Calibri" w:hAnsi="Calibri"/>
      <w:b/>
      <w:bCs/>
      <w:kern w:val="0"/>
      <w:sz w:val="20"/>
      <w:szCs w:val="20"/>
    </w:rPr>
  </w:style>
  <w:style w:type="paragraph" w:styleId="8">
    <w:name w:val="heading 7"/>
    <w:basedOn w:val="1"/>
    <w:next w:val="1"/>
    <w:link w:val="168"/>
    <w:unhideWhenUsed/>
    <w:qFormat/>
    <w:uiPriority w:val="9"/>
    <w:pPr>
      <w:keepNext/>
      <w:keepLines/>
      <w:spacing w:before="240" w:after="64" w:line="320" w:lineRule="auto"/>
      <w:ind w:firstLine="200" w:firstLineChars="200"/>
      <w:jc w:val="left"/>
      <w:outlineLvl w:val="6"/>
    </w:pPr>
    <w:rPr>
      <w:b/>
      <w:bCs/>
    </w:rPr>
  </w:style>
  <w:style w:type="paragraph" w:styleId="9">
    <w:name w:val="heading 8"/>
    <w:basedOn w:val="1"/>
    <w:next w:val="1"/>
    <w:link w:val="186"/>
    <w:semiHidden/>
    <w:unhideWhenUsed/>
    <w:qFormat/>
    <w:uiPriority w:val="9"/>
    <w:pPr>
      <w:keepNext/>
      <w:keepLines/>
      <w:spacing w:before="240" w:after="64" w:line="320" w:lineRule="auto"/>
      <w:outlineLvl w:val="7"/>
    </w:pPr>
    <w:rPr>
      <w:rFonts w:ascii="Calibri" w:hAnsi="Calibri"/>
      <w:kern w:val="0"/>
      <w:sz w:val="20"/>
      <w:szCs w:val="20"/>
    </w:rPr>
  </w:style>
  <w:style w:type="paragraph" w:styleId="10">
    <w:name w:val="heading 9"/>
    <w:basedOn w:val="1"/>
    <w:next w:val="1"/>
    <w:link w:val="187"/>
    <w:semiHidden/>
    <w:unhideWhenUsed/>
    <w:qFormat/>
    <w:uiPriority w:val="9"/>
    <w:pPr>
      <w:keepNext/>
      <w:keepLines/>
      <w:spacing w:before="240" w:after="64" w:line="320" w:lineRule="auto"/>
      <w:outlineLvl w:val="8"/>
    </w:pPr>
    <w:rPr>
      <w:rFonts w:ascii="Calibri" w:hAnsi="Calibri"/>
      <w:kern w:val="0"/>
      <w:sz w:val="20"/>
      <w:szCs w:val="21"/>
    </w:rPr>
  </w:style>
  <w:style w:type="character" w:default="1" w:styleId="28">
    <w:name w:val="Default Paragraph Font"/>
    <w:semiHidden/>
    <w:unhideWhenUsed/>
    <w:uiPriority w:val="1"/>
  </w:style>
  <w:style w:type="table" w:default="1" w:styleId="26">
    <w:name w:val="Normal Table"/>
    <w:semiHidden/>
    <w:unhideWhenUsed/>
    <w:uiPriority w:val="99"/>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CellMar>
        <w:top w:w="0" w:type="dxa"/>
        <w:left w:w="108" w:type="dxa"/>
        <w:bottom w:w="0" w:type="dxa"/>
        <w:right w:w="108" w:type="dxa"/>
      </w:tblCellMar>
    </w:tblPr>
  </w:style>
  <w:style w:type="paragraph" w:styleId="11">
    <w:name w:val="caption"/>
    <w:basedOn w:val="1"/>
    <w:next w:val="1"/>
    <w:unhideWhenUsed/>
    <w:qFormat/>
    <w:uiPriority w:val="35"/>
    <w:rPr>
      <w:rFonts w:ascii="Cambria" w:hAnsi="Cambria" w:eastAsia="黑体"/>
      <w:sz w:val="20"/>
      <w:szCs w:val="20"/>
    </w:rPr>
  </w:style>
  <w:style w:type="paragraph" w:styleId="12">
    <w:name w:val="Document Map"/>
    <w:basedOn w:val="1"/>
    <w:link w:val="101"/>
    <w:unhideWhenUsed/>
    <w:qFormat/>
    <w:uiPriority w:val="0"/>
    <w:pPr>
      <w:spacing w:line="360" w:lineRule="auto"/>
      <w:textAlignment w:val="center"/>
    </w:pPr>
    <w:rPr>
      <w:rFonts w:hAnsi="Times New Roman"/>
      <w:sz w:val="18"/>
      <w:szCs w:val="18"/>
    </w:rPr>
  </w:style>
  <w:style w:type="paragraph" w:styleId="13">
    <w:name w:val="annotation text"/>
    <w:basedOn w:val="1"/>
    <w:link w:val="93"/>
    <w:unhideWhenUsed/>
    <w:qFormat/>
    <w:uiPriority w:val="0"/>
    <w:pPr>
      <w:jc w:val="left"/>
      <w:textAlignment w:val="center"/>
    </w:pPr>
    <w:rPr>
      <w:rFonts w:asciiTheme="minorHAnsi" w:hAnsiTheme="minorHAnsi" w:eastAsiaTheme="minorEastAsia" w:cstheme="minorBidi"/>
      <w:sz w:val="21"/>
    </w:rPr>
  </w:style>
  <w:style w:type="paragraph" w:styleId="14">
    <w:name w:val="Body Text"/>
    <w:basedOn w:val="1"/>
    <w:link w:val="75"/>
    <w:qFormat/>
    <w:uiPriority w:val="0"/>
    <w:pPr>
      <w:spacing w:after="120"/>
    </w:pPr>
    <w:rPr>
      <w:rFonts w:ascii="Calibri" w:hAnsi="Calibri"/>
      <w:kern w:val="0"/>
      <w:sz w:val="20"/>
      <w:szCs w:val="20"/>
    </w:rPr>
  </w:style>
  <w:style w:type="paragraph" w:styleId="15">
    <w:name w:val="Body Text Indent"/>
    <w:basedOn w:val="1"/>
    <w:link w:val="131"/>
    <w:qFormat/>
    <w:uiPriority w:val="0"/>
    <w:pPr>
      <w:snapToGrid w:val="0"/>
      <w:spacing w:after="120" w:line="366" w:lineRule="atLeast"/>
      <w:ind w:left="420" w:leftChars="200" w:firstLine="200" w:firstLineChars="200"/>
    </w:pPr>
    <w:rPr>
      <w:rFonts w:ascii="Times New Roman" w:hAnsi="Times New Roman" w:eastAsia="方正书宋简体"/>
      <w:sz w:val="20"/>
      <w:szCs w:val="24"/>
    </w:rPr>
  </w:style>
  <w:style w:type="paragraph" w:styleId="16">
    <w:name w:val="Date"/>
    <w:basedOn w:val="1"/>
    <w:next w:val="1"/>
    <w:link w:val="82"/>
    <w:unhideWhenUsed/>
    <w:uiPriority w:val="0"/>
    <w:pPr>
      <w:ind w:left="100" w:leftChars="2500"/>
    </w:pPr>
  </w:style>
  <w:style w:type="paragraph" w:styleId="17">
    <w:name w:val="endnote text"/>
    <w:basedOn w:val="1"/>
    <w:link w:val="49"/>
    <w:unhideWhenUsed/>
    <w:qFormat/>
    <w:uiPriority w:val="99"/>
    <w:pPr>
      <w:snapToGrid w:val="0"/>
      <w:jc w:val="left"/>
    </w:pPr>
  </w:style>
  <w:style w:type="paragraph" w:styleId="18">
    <w:name w:val="Balloon Text"/>
    <w:basedOn w:val="1"/>
    <w:link w:val="67"/>
    <w:unhideWhenUsed/>
    <w:qFormat/>
    <w:uiPriority w:val="99"/>
    <w:rPr>
      <w:sz w:val="18"/>
      <w:szCs w:val="18"/>
    </w:rPr>
  </w:style>
  <w:style w:type="paragraph" w:styleId="19">
    <w:name w:val="footer"/>
    <w:basedOn w:val="1"/>
    <w:link w:val="39"/>
    <w:qFormat/>
    <w:uiPriority w:val="99"/>
    <w:pPr>
      <w:tabs>
        <w:tab w:val="center" w:pos="4153"/>
        <w:tab w:val="right" w:pos="8306"/>
      </w:tabs>
      <w:snapToGrid w:val="0"/>
      <w:jc w:val="left"/>
    </w:pPr>
    <w:rPr>
      <w:rFonts w:ascii="Times New Roman" w:hAnsi="Times New Roman" w:eastAsia="PMingLiU"/>
      <w:sz w:val="20"/>
      <w:szCs w:val="20"/>
      <w:lang w:eastAsia="zh-TW"/>
    </w:rPr>
  </w:style>
  <w:style w:type="paragraph" w:styleId="20">
    <w:name w:val="header"/>
    <w:basedOn w:val="1"/>
    <w:link w:val="50"/>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Subtitle"/>
    <w:basedOn w:val="1"/>
    <w:next w:val="1"/>
    <w:link w:val="98"/>
    <w:qFormat/>
    <w:uiPriority w:val="11"/>
    <w:pPr>
      <w:spacing w:before="100" w:beforeLines="100" w:after="100" w:afterLines="100" w:line="360" w:lineRule="auto"/>
      <w:jc w:val="center"/>
      <w:textAlignment w:val="center"/>
      <w:outlineLvl w:val="1"/>
    </w:pPr>
    <w:rPr>
      <w:rFonts w:ascii="Cambria" w:hAnsi="Cambria"/>
      <w:b/>
      <w:bCs/>
      <w:kern w:val="28"/>
      <w:szCs w:val="32"/>
    </w:rPr>
  </w:style>
  <w:style w:type="paragraph" w:styleId="22">
    <w:name w:val="footnote text"/>
    <w:basedOn w:val="1"/>
    <w:link w:val="42"/>
    <w:qFormat/>
    <w:uiPriority w:val="0"/>
    <w:pPr>
      <w:snapToGrid w:val="0"/>
      <w:jc w:val="left"/>
    </w:pPr>
    <w:rPr>
      <w:rFonts w:ascii="Times New Roman" w:hAnsi="Times New Roman" w:eastAsia="PMingLiU"/>
      <w:sz w:val="20"/>
      <w:szCs w:val="20"/>
      <w:lang w:eastAsia="zh-TW"/>
    </w:rPr>
  </w:style>
  <w:style w:type="paragraph" w:styleId="23">
    <w:name w:val="Normal (Web)"/>
    <w:basedOn w:val="1"/>
    <w:unhideWhenUsed/>
    <w:uiPriority w:val="99"/>
    <w:pPr>
      <w:widowControl/>
      <w:spacing w:before="100" w:beforeAutospacing="1" w:after="100" w:afterAutospacing="1"/>
      <w:jc w:val="left"/>
    </w:pPr>
    <w:rPr>
      <w:rFonts w:cs="宋体"/>
      <w:kern w:val="0"/>
      <w:szCs w:val="24"/>
    </w:rPr>
  </w:style>
  <w:style w:type="paragraph" w:styleId="24">
    <w:name w:val="Title"/>
    <w:basedOn w:val="1"/>
    <w:next w:val="1"/>
    <w:link w:val="90"/>
    <w:qFormat/>
    <w:uiPriority w:val="0"/>
    <w:pPr>
      <w:wordWrap w:val="0"/>
      <w:spacing w:before="240" w:after="60"/>
      <w:jc w:val="center"/>
      <w:outlineLvl w:val="0"/>
    </w:pPr>
    <w:rPr>
      <w:rFonts w:asciiTheme="majorHAnsi" w:hAnsiTheme="majorHAnsi" w:cstheme="majorBidi"/>
      <w:b/>
      <w:bCs/>
      <w:sz w:val="32"/>
      <w:szCs w:val="32"/>
    </w:rPr>
  </w:style>
  <w:style w:type="paragraph" w:styleId="25">
    <w:name w:val="annotation subject"/>
    <w:basedOn w:val="13"/>
    <w:next w:val="13"/>
    <w:link w:val="94"/>
    <w:unhideWhenUsed/>
    <w:qFormat/>
    <w:uiPriority w:val="99"/>
    <w:rPr>
      <w:b/>
      <w:bCs/>
    </w:rPr>
  </w:style>
  <w:style w:type="table" w:styleId="27">
    <w:name w:val="Table Grid"/>
    <w:basedOn w:val="2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rPr>
  </w:style>
  <w:style w:type="character" w:styleId="30">
    <w:name w:val="endnote reference"/>
    <w:basedOn w:val="28"/>
    <w:unhideWhenUsed/>
    <w:qFormat/>
    <w:uiPriority w:val="99"/>
    <w:rPr>
      <w:vertAlign w:val="superscript"/>
    </w:rPr>
  </w:style>
  <w:style w:type="character" w:styleId="31">
    <w:name w:val="page number"/>
    <w:qFormat/>
    <w:uiPriority w:val="0"/>
  </w:style>
  <w:style w:type="character" w:styleId="32">
    <w:name w:val="FollowedHyperlink"/>
    <w:basedOn w:val="28"/>
    <w:unhideWhenUsed/>
    <w:uiPriority w:val="0"/>
    <w:rPr>
      <w:color w:val="954F72" w:themeColor="followedHyperlink"/>
      <w:u w:val="single"/>
      <w14:textFill>
        <w14:solidFill>
          <w14:schemeClr w14:val="folHlink"/>
        </w14:solidFill>
      </w14:textFill>
    </w:rPr>
  </w:style>
  <w:style w:type="character" w:styleId="33">
    <w:name w:val="Emphasis"/>
    <w:qFormat/>
    <w:uiPriority w:val="20"/>
    <w:rPr>
      <w:i/>
      <w:iCs/>
    </w:rPr>
  </w:style>
  <w:style w:type="character" w:styleId="34">
    <w:name w:val="Hyperlink"/>
    <w:unhideWhenUsed/>
    <w:qFormat/>
    <w:uiPriority w:val="99"/>
    <w:rPr>
      <w:color w:val="0563C1"/>
      <w:u w:val="single"/>
    </w:rPr>
  </w:style>
  <w:style w:type="character" w:styleId="35">
    <w:name w:val="annotation reference"/>
    <w:basedOn w:val="28"/>
    <w:unhideWhenUsed/>
    <w:qFormat/>
    <w:uiPriority w:val="0"/>
    <w:rPr>
      <w:sz w:val="21"/>
      <w:szCs w:val="21"/>
    </w:rPr>
  </w:style>
  <w:style w:type="character" w:styleId="36">
    <w:name w:val="footnote reference"/>
    <w:qFormat/>
    <w:uiPriority w:val="99"/>
    <w:rPr>
      <w:vertAlign w:val="superscript"/>
    </w:rPr>
  </w:style>
  <w:style w:type="paragraph" w:customStyle="1" w:styleId="37">
    <w:name w:val="網文引用"/>
    <w:basedOn w:val="1"/>
    <w:link w:val="48"/>
    <w:qFormat/>
    <w:uiPriority w:val="0"/>
    <w:pPr>
      <w:tabs>
        <w:tab w:val="left" w:pos="397"/>
      </w:tabs>
      <w:overflowPunct w:val="0"/>
      <w:topLinePunct/>
      <w:autoSpaceDE w:val="0"/>
      <w:autoSpaceDN w:val="0"/>
      <w:adjustRightInd w:val="0"/>
      <w:spacing w:before="150" w:beforeLines="150" w:after="150" w:afterLines="150" w:line="480" w:lineRule="auto"/>
      <w:ind w:left="420" w:firstLine="200" w:firstLineChars="200"/>
      <w:contextualSpacing/>
      <w:textAlignment w:val="baseline"/>
    </w:pPr>
    <w:rPr>
      <w:rFonts w:ascii="楷体" w:hAnsi="楷体" w:eastAsia="楷体"/>
      <w:spacing w:val="4"/>
      <w:kern w:val="0"/>
      <w:lang w:eastAsia="zh-TW"/>
    </w:rPr>
  </w:style>
  <w:style w:type="character" w:customStyle="1" w:styleId="38">
    <w:name w:val="脚注文本 Char"/>
    <w:qFormat/>
    <w:uiPriority w:val="0"/>
    <w:rPr>
      <w:rFonts w:ascii="宋体"/>
      <w:kern w:val="2"/>
      <w:sz w:val="18"/>
      <w:szCs w:val="18"/>
    </w:rPr>
  </w:style>
  <w:style w:type="character" w:customStyle="1" w:styleId="39">
    <w:name w:val="页脚 字符"/>
    <w:link w:val="19"/>
    <w:qFormat/>
    <w:uiPriority w:val="99"/>
    <w:rPr>
      <w:rFonts w:ascii="Times New Roman" w:hAnsi="Times New Roman" w:eastAsia="PMingLiU"/>
      <w:kern w:val="2"/>
      <w:lang w:eastAsia="zh-TW"/>
    </w:rPr>
  </w:style>
  <w:style w:type="paragraph" w:customStyle="1" w:styleId="40">
    <w:name w:val="網文正文頂格"/>
    <w:basedOn w:val="41"/>
    <w:qFormat/>
    <w:uiPriority w:val="0"/>
    <w:pPr>
      <w:ind w:firstLine="0" w:firstLineChars="0"/>
      <w:jc w:val="left"/>
    </w:pPr>
  </w:style>
  <w:style w:type="paragraph" w:customStyle="1" w:styleId="41">
    <w:name w:val="網文正文"/>
    <w:basedOn w:val="1"/>
    <w:link w:val="47"/>
    <w:qFormat/>
    <w:uiPriority w:val="0"/>
    <w:pPr>
      <w:spacing w:line="480" w:lineRule="auto"/>
      <w:ind w:firstLine="200" w:firstLineChars="200"/>
      <w:textAlignment w:val="center"/>
    </w:pPr>
    <w:rPr>
      <w:sz w:val="28"/>
    </w:rPr>
  </w:style>
  <w:style w:type="character" w:customStyle="1" w:styleId="42">
    <w:name w:val="脚注文本 字符1"/>
    <w:link w:val="22"/>
    <w:qFormat/>
    <w:locked/>
    <w:uiPriority w:val="0"/>
    <w:rPr>
      <w:rFonts w:ascii="Times New Roman" w:hAnsi="Times New Roman" w:eastAsia="PMingLiU"/>
      <w:kern w:val="2"/>
      <w:lang w:eastAsia="zh-TW"/>
    </w:rPr>
  </w:style>
  <w:style w:type="paragraph" w:customStyle="1" w:styleId="43">
    <w:name w:val="網文標題"/>
    <w:basedOn w:val="1"/>
    <w:link w:val="44"/>
    <w:qFormat/>
    <w:uiPriority w:val="0"/>
    <w:pPr>
      <w:jc w:val="center"/>
    </w:pPr>
    <w:rPr>
      <w:rFonts w:ascii="黑体"/>
      <w:b/>
      <w:sz w:val="32"/>
      <w:szCs w:val="44"/>
    </w:rPr>
  </w:style>
  <w:style w:type="character" w:customStyle="1" w:styleId="44">
    <w:name w:val="網文標題 Char"/>
    <w:link w:val="43"/>
    <w:qFormat/>
    <w:uiPriority w:val="0"/>
    <w:rPr>
      <w:rFonts w:ascii="黑体"/>
      <w:b/>
      <w:kern w:val="2"/>
      <w:sz w:val="32"/>
      <w:szCs w:val="44"/>
    </w:rPr>
  </w:style>
  <w:style w:type="paragraph" w:customStyle="1" w:styleId="45">
    <w:name w:val="網文作者"/>
    <w:basedOn w:val="1"/>
    <w:link w:val="46"/>
    <w:qFormat/>
    <w:uiPriority w:val="0"/>
    <w:pPr>
      <w:jc w:val="center"/>
    </w:pPr>
    <w:rPr>
      <w:b/>
      <w:sz w:val="28"/>
      <w:lang w:eastAsia="zh-TW"/>
    </w:rPr>
  </w:style>
  <w:style w:type="character" w:customStyle="1" w:styleId="46">
    <w:name w:val="網文作者 Char"/>
    <w:link w:val="45"/>
    <w:qFormat/>
    <w:uiPriority w:val="0"/>
    <w:rPr>
      <w:rFonts w:ascii="宋体" w:hAnsi="宋体"/>
      <w:b/>
      <w:kern w:val="2"/>
      <w:sz w:val="28"/>
      <w:szCs w:val="22"/>
      <w:lang w:eastAsia="zh-TW"/>
    </w:rPr>
  </w:style>
  <w:style w:type="character" w:customStyle="1" w:styleId="47">
    <w:name w:val="網文正文 Char"/>
    <w:link w:val="41"/>
    <w:qFormat/>
    <w:uiPriority w:val="0"/>
    <w:rPr>
      <w:rFonts w:ascii="宋体" w:hAnsi="宋体"/>
      <w:kern w:val="2"/>
      <w:sz w:val="28"/>
      <w:szCs w:val="22"/>
    </w:rPr>
  </w:style>
  <w:style w:type="character" w:customStyle="1" w:styleId="48">
    <w:name w:val="網文引用 Char"/>
    <w:link w:val="37"/>
    <w:qFormat/>
    <w:uiPriority w:val="0"/>
    <w:rPr>
      <w:rFonts w:ascii="楷体" w:hAnsi="楷体" w:eastAsia="楷体"/>
      <w:spacing w:val="4"/>
      <w:sz w:val="24"/>
      <w:szCs w:val="22"/>
      <w:lang w:eastAsia="zh-TW"/>
    </w:rPr>
  </w:style>
  <w:style w:type="character" w:customStyle="1" w:styleId="49">
    <w:name w:val="尾注文本 字符1"/>
    <w:link w:val="17"/>
    <w:qFormat/>
    <w:uiPriority w:val="99"/>
    <w:rPr>
      <w:rFonts w:ascii="宋体" w:hAnsi="宋体"/>
      <w:kern w:val="2"/>
      <w:sz w:val="24"/>
      <w:szCs w:val="22"/>
    </w:rPr>
  </w:style>
  <w:style w:type="character" w:customStyle="1" w:styleId="50">
    <w:name w:val="页眉 字符"/>
    <w:link w:val="20"/>
    <w:qFormat/>
    <w:uiPriority w:val="0"/>
    <w:rPr>
      <w:rFonts w:ascii="宋体" w:hAnsi="宋体"/>
      <w:kern w:val="2"/>
      <w:sz w:val="18"/>
      <w:szCs w:val="18"/>
    </w:rPr>
  </w:style>
  <w:style w:type="character" w:customStyle="1" w:styleId="51">
    <w:name w:val="st1"/>
    <w:qFormat/>
    <w:uiPriority w:val="0"/>
  </w:style>
  <w:style w:type="paragraph" w:customStyle="1" w:styleId="52">
    <w:name w:val="标题 11"/>
    <w:basedOn w:val="1"/>
    <w:next w:val="1"/>
    <w:qFormat/>
    <w:uiPriority w:val="9"/>
    <w:pPr>
      <w:keepNext/>
      <w:keepLines/>
      <w:spacing w:before="340" w:after="330" w:line="578" w:lineRule="auto"/>
      <w:outlineLvl w:val="0"/>
    </w:pPr>
    <w:rPr>
      <w:rFonts w:ascii="Calibri" w:hAnsi="Calibri"/>
      <w:b/>
      <w:bCs/>
      <w:kern w:val="44"/>
      <w:sz w:val="44"/>
      <w:szCs w:val="44"/>
    </w:rPr>
  </w:style>
  <w:style w:type="paragraph" w:customStyle="1" w:styleId="53">
    <w:name w:val="标题 21"/>
    <w:basedOn w:val="1"/>
    <w:next w:val="1"/>
    <w:unhideWhenUsed/>
    <w:qFormat/>
    <w:uiPriority w:val="0"/>
    <w:pPr>
      <w:keepNext/>
      <w:keepLines/>
      <w:spacing w:before="260" w:after="260" w:line="416" w:lineRule="auto"/>
      <w:outlineLvl w:val="1"/>
    </w:pPr>
    <w:rPr>
      <w:rFonts w:ascii="Cambria" w:hAnsi="Cambria"/>
      <w:b/>
      <w:bCs/>
      <w:sz w:val="32"/>
      <w:szCs w:val="32"/>
    </w:rPr>
  </w:style>
  <w:style w:type="paragraph" w:customStyle="1" w:styleId="54">
    <w:name w:val="标题 31"/>
    <w:basedOn w:val="1"/>
    <w:next w:val="1"/>
    <w:semiHidden/>
    <w:unhideWhenUsed/>
    <w:qFormat/>
    <w:uiPriority w:val="9"/>
    <w:pPr>
      <w:keepNext/>
      <w:keepLines/>
      <w:spacing w:before="260" w:after="260" w:line="416" w:lineRule="auto"/>
      <w:outlineLvl w:val="2"/>
    </w:pPr>
    <w:rPr>
      <w:rFonts w:ascii="Calibri" w:hAnsi="Calibri"/>
      <w:b/>
      <w:bCs/>
      <w:sz w:val="32"/>
      <w:szCs w:val="32"/>
    </w:rPr>
  </w:style>
  <w:style w:type="character" w:customStyle="1" w:styleId="55">
    <w:name w:val="标题 1 字符"/>
    <w:link w:val="2"/>
    <w:qFormat/>
    <w:uiPriority w:val="0"/>
    <w:rPr>
      <w:b/>
      <w:bCs/>
      <w:kern w:val="44"/>
      <w:sz w:val="44"/>
      <w:szCs w:val="44"/>
    </w:rPr>
  </w:style>
  <w:style w:type="character" w:customStyle="1" w:styleId="56">
    <w:name w:val="标题 2 字符"/>
    <w:link w:val="3"/>
    <w:qFormat/>
    <w:uiPriority w:val="0"/>
    <w:rPr>
      <w:rFonts w:ascii="Cambria" w:hAnsi="Cambria" w:eastAsia="宋体" w:cs="Times New Roman"/>
      <w:b/>
      <w:bCs/>
      <w:sz w:val="32"/>
      <w:szCs w:val="32"/>
    </w:rPr>
  </w:style>
  <w:style w:type="character" w:customStyle="1" w:styleId="57">
    <w:name w:val="标题 3 字符"/>
    <w:link w:val="4"/>
    <w:qFormat/>
    <w:uiPriority w:val="9"/>
    <w:rPr>
      <w:b/>
      <w:bCs/>
      <w:sz w:val="32"/>
      <w:szCs w:val="32"/>
    </w:rPr>
  </w:style>
  <w:style w:type="paragraph" w:customStyle="1" w:styleId="58">
    <w:name w:val="无间隔1"/>
    <w:next w:val="59"/>
    <w:qFormat/>
    <w:uiPriority w:val="1"/>
    <w:pPr>
      <w:widowControl w:val="0"/>
      <w:jc w:val="both"/>
    </w:pPr>
    <w:rPr>
      <w:rFonts w:ascii="Calibri" w:hAnsi="Calibri" w:eastAsia="宋体" w:cs="Times New Roman"/>
      <w:kern w:val="2"/>
      <w:sz w:val="21"/>
      <w:szCs w:val="22"/>
      <w:lang w:val="en-US" w:eastAsia="zh-CN" w:bidi="ar-SA"/>
    </w:rPr>
  </w:style>
  <w:style w:type="paragraph" w:styleId="59">
    <w:name w:val="No Spacing"/>
    <w:link w:val="204"/>
    <w:qFormat/>
    <w:uiPriority w:val="1"/>
    <w:pPr>
      <w:widowControl w:val="0"/>
      <w:jc w:val="both"/>
    </w:pPr>
    <w:rPr>
      <w:rFonts w:ascii="宋体" w:hAnsi="宋体" w:eastAsia="宋体" w:cs="Times New Roman"/>
      <w:kern w:val="2"/>
      <w:sz w:val="24"/>
      <w:szCs w:val="22"/>
      <w:lang w:val="en-US" w:eastAsia="zh-CN" w:bidi="ar-SA"/>
    </w:rPr>
  </w:style>
  <w:style w:type="paragraph" w:customStyle="1" w:styleId="60">
    <w:name w:val="批注框文本1"/>
    <w:basedOn w:val="1"/>
    <w:next w:val="18"/>
    <w:link w:val="61"/>
    <w:semiHidden/>
    <w:unhideWhenUsed/>
    <w:qFormat/>
    <w:uiPriority w:val="99"/>
    <w:rPr>
      <w:rFonts w:ascii="Calibri" w:hAnsi="Calibri"/>
      <w:kern w:val="0"/>
      <w:sz w:val="18"/>
      <w:szCs w:val="18"/>
    </w:rPr>
  </w:style>
  <w:style w:type="character" w:customStyle="1" w:styleId="61">
    <w:name w:val="批注框文本 Char"/>
    <w:link w:val="60"/>
    <w:semiHidden/>
    <w:qFormat/>
    <w:uiPriority w:val="99"/>
    <w:rPr>
      <w:sz w:val="18"/>
      <w:szCs w:val="18"/>
    </w:rPr>
  </w:style>
  <w:style w:type="paragraph" w:customStyle="1" w:styleId="62">
    <w:name w:val="列出段落1"/>
    <w:basedOn w:val="1"/>
    <w:next w:val="63"/>
    <w:qFormat/>
    <w:uiPriority w:val="34"/>
    <w:pPr>
      <w:spacing w:after="120" w:line="276" w:lineRule="auto"/>
      <w:ind w:firstLine="420" w:firstLineChars="200"/>
    </w:pPr>
    <w:rPr>
      <w:rFonts w:ascii="Calibri" w:hAnsi="Calibri"/>
      <w:sz w:val="21"/>
    </w:rPr>
  </w:style>
  <w:style w:type="paragraph" w:styleId="63">
    <w:name w:val="List Paragraph"/>
    <w:basedOn w:val="1"/>
    <w:qFormat/>
    <w:uiPriority w:val="34"/>
    <w:pPr>
      <w:ind w:firstLine="420" w:firstLineChars="200"/>
    </w:pPr>
  </w:style>
  <w:style w:type="character" w:customStyle="1" w:styleId="64">
    <w:name w:val="标题 1 Char1"/>
    <w:qFormat/>
    <w:uiPriority w:val="9"/>
    <w:rPr>
      <w:rFonts w:ascii="宋体" w:hAnsi="宋体"/>
      <w:b/>
      <w:bCs/>
      <w:kern w:val="44"/>
      <w:sz w:val="44"/>
      <w:szCs w:val="44"/>
    </w:rPr>
  </w:style>
  <w:style w:type="character" w:customStyle="1" w:styleId="65">
    <w:name w:val="标题 2 Char1"/>
    <w:semiHidden/>
    <w:qFormat/>
    <w:uiPriority w:val="9"/>
    <w:rPr>
      <w:rFonts w:ascii="Calibri Light" w:hAnsi="Calibri Light" w:eastAsia="宋体" w:cs="Times New Roman"/>
      <w:b/>
      <w:bCs/>
      <w:kern w:val="2"/>
      <w:sz w:val="32"/>
      <w:szCs w:val="32"/>
    </w:rPr>
  </w:style>
  <w:style w:type="character" w:customStyle="1" w:styleId="66">
    <w:name w:val="标题 3 Char1"/>
    <w:semiHidden/>
    <w:qFormat/>
    <w:uiPriority w:val="9"/>
    <w:rPr>
      <w:rFonts w:ascii="宋体" w:hAnsi="宋体"/>
      <w:b/>
      <w:bCs/>
      <w:kern w:val="2"/>
      <w:sz w:val="32"/>
      <w:szCs w:val="32"/>
    </w:rPr>
  </w:style>
  <w:style w:type="character" w:customStyle="1" w:styleId="67">
    <w:name w:val="批注框文本 字符"/>
    <w:link w:val="18"/>
    <w:qFormat/>
    <w:uiPriority w:val="99"/>
    <w:rPr>
      <w:rFonts w:ascii="宋体" w:hAnsi="宋体"/>
      <w:kern w:val="2"/>
      <w:sz w:val="18"/>
      <w:szCs w:val="18"/>
    </w:rPr>
  </w:style>
  <w:style w:type="character" w:customStyle="1" w:styleId="68">
    <w:name w:val="apple-converted-space"/>
    <w:qFormat/>
    <w:uiPriority w:val="0"/>
  </w:style>
  <w:style w:type="paragraph" w:customStyle="1" w:styleId="69">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70">
    <w:name w:val="Char1"/>
    <w:basedOn w:val="1"/>
    <w:qFormat/>
    <w:uiPriority w:val="0"/>
    <w:rPr>
      <w:rFonts w:ascii="Tahoma" w:hAnsi="Tahoma"/>
      <w:szCs w:val="20"/>
    </w:rPr>
  </w:style>
  <w:style w:type="character" w:customStyle="1" w:styleId="71">
    <w:name w:val="postbody1"/>
    <w:qFormat/>
    <w:uiPriority w:val="0"/>
    <w:rPr>
      <w:sz w:val="11"/>
      <w:szCs w:val="11"/>
    </w:rPr>
  </w:style>
  <w:style w:type="character" w:customStyle="1" w:styleId="72">
    <w:name w:val="hot"/>
    <w:basedOn w:val="28"/>
    <w:qFormat/>
    <w:uiPriority w:val="0"/>
  </w:style>
  <w:style w:type="character" w:customStyle="1" w:styleId="73">
    <w:name w:val="note"/>
    <w:qFormat/>
    <w:uiPriority w:val="0"/>
    <w:rPr>
      <w:color w:val="800080"/>
      <w:sz w:val="20"/>
      <w:szCs w:val="20"/>
    </w:rPr>
  </w:style>
  <w:style w:type="character" w:customStyle="1" w:styleId="74">
    <w:name w:val="Char Char7"/>
    <w:semiHidden/>
    <w:qFormat/>
    <w:uiPriority w:val="0"/>
    <w:rPr>
      <w:rFonts w:eastAsia="宋体"/>
      <w:kern w:val="2"/>
      <w:sz w:val="18"/>
      <w:szCs w:val="18"/>
      <w:lang w:val="en-US" w:eastAsia="zh-CN" w:bidi="ar-SA"/>
    </w:rPr>
  </w:style>
  <w:style w:type="character" w:customStyle="1" w:styleId="75">
    <w:name w:val="正文文本 字符"/>
    <w:link w:val="14"/>
    <w:qFormat/>
    <w:uiPriority w:val="0"/>
    <w:rPr>
      <w:lang w:val="en-US" w:eastAsia="zh-CN"/>
    </w:rPr>
  </w:style>
  <w:style w:type="character" w:customStyle="1" w:styleId="76">
    <w:name w:val="byline1"/>
    <w:qFormat/>
    <w:uiPriority w:val="0"/>
    <w:rPr>
      <w:color w:val="408080"/>
      <w:sz w:val="32"/>
      <w:szCs w:val="32"/>
    </w:rPr>
  </w:style>
  <w:style w:type="character" w:customStyle="1" w:styleId="77">
    <w:name w:val="Hyperlink.0"/>
    <w:qFormat/>
    <w:uiPriority w:val="0"/>
    <w:rPr>
      <w:rFonts w:ascii="DFKai-SB" w:hAnsi="DFKai-SB" w:eastAsia="DFKai-SB" w:cs="DFKai-SB"/>
      <w:sz w:val="22"/>
      <w:szCs w:val="22"/>
      <w:lang w:val="zh-TW" w:eastAsia="zh-TW"/>
    </w:rPr>
  </w:style>
  <w:style w:type="character" w:customStyle="1" w:styleId="78">
    <w:name w:val="尾注文本 字符"/>
    <w:qFormat/>
    <w:uiPriority w:val="99"/>
    <w:rPr>
      <w:kern w:val="2"/>
      <w:sz w:val="21"/>
      <w:szCs w:val="24"/>
    </w:rPr>
  </w:style>
  <w:style w:type="character" w:customStyle="1" w:styleId="79">
    <w:name w:val="脚注文本 字符"/>
    <w:qFormat/>
    <w:uiPriority w:val="0"/>
    <w:rPr>
      <w:sz w:val="20"/>
      <w:szCs w:val="20"/>
    </w:rPr>
  </w:style>
  <w:style w:type="paragraph" w:customStyle="1" w:styleId="80">
    <w:name w:val="注文"/>
    <w:basedOn w:val="1"/>
    <w:qFormat/>
    <w:uiPriority w:val="0"/>
    <w:pPr>
      <w:ind w:left="1155" w:leftChars="405" w:hanging="21" w:hangingChars="10"/>
    </w:pPr>
    <w:rPr>
      <w:rFonts w:ascii="Calibri" w:hAnsi="Calibri"/>
      <w:color w:val="92D050"/>
      <w:sz w:val="21"/>
      <w:szCs w:val="21"/>
    </w:rPr>
  </w:style>
  <w:style w:type="paragraph" w:customStyle="1" w:styleId="81">
    <w:name w:val="小標"/>
    <w:basedOn w:val="1"/>
    <w:qFormat/>
    <w:uiPriority w:val="0"/>
    <w:pPr>
      <w:ind w:left="708" w:leftChars="53" w:hanging="560" w:hangingChars="200"/>
    </w:pPr>
    <w:rPr>
      <w:rFonts w:ascii="Calibri" w:hAnsi="Calibri"/>
      <w:sz w:val="21"/>
      <w:szCs w:val="24"/>
    </w:rPr>
  </w:style>
  <w:style w:type="character" w:customStyle="1" w:styleId="82">
    <w:name w:val="日期 字符"/>
    <w:link w:val="16"/>
    <w:qFormat/>
    <w:uiPriority w:val="0"/>
    <w:rPr>
      <w:rFonts w:ascii="宋体" w:hAnsi="宋体"/>
      <w:kern w:val="2"/>
      <w:sz w:val="24"/>
      <w:szCs w:val="22"/>
    </w:rPr>
  </w:style>
  <w:style w:type="character" w:customStyle="1" w:styleId="83">
    <w:name w:val="尾注文本 Char"/>
    <w:qFormat/>
    <w:uiPriority w:val="0"/>
    <w:rPr>
      <w:kern w:val="2"/>
      <w:sz w:val="21"/>
      <w:szCs w:val="24"/>
    </w:rPr>
  </w:style>
  <w:style w:type="character" w:customStyle="1" w:styleId="84">
    <w:name w:val="fontstyle01"/>
    <w:basedOn w:val="28"/>
    <w:qFormat/>
    <w:uiPriority w:val="0"/>
    <w:rPr>
      <w:rFonts w:hint="default" w:ascii="TimesNewRomanPS-BoldMT" w:hAnsi="TimesNewRomanPS-BoldMT"/>
      <w:b/>
      <w:bCs/>
      <w:color w:val="000000"/>
      <w:sz w:val="36"/>
      <w:szCs w:val="36"/>
    </w:rPr>
  </w:style>
  <w:style w:type="character" w:customStyle="1" w:styleId="85">
    <w:name w:val="fontstyle11"/>
    <w:basedOn w:val="28"/>
    <w:qFormat/>
    <w:uiPriority w:val="0"/>
    <w:rPr>
      <w:rFonts w:hint="eastAsia" w:ascii="宋体" w:hAnsi="宋体" w:eastAsia="宋体"/>
      <w:color w:val="000000"/>
      <w:sz w:val="36"/>
      <w:szCs w:val="36"/>
    </w:rPr>
  </w:style>
  <w:style w:type="character" w:customStyle="1" w:styleId="86">
    <w:name w:val="fontstyle21"/>
    <w:basedOn w:val="28"/>
    <w:qFormat/>
    <w:uiPriority w:val="0"/>
    <w:rPr>
      <w:rFonts w:hint="eastAsia" w:ascii="Batang" w:eastAsia="Batang"/>
      <w:color w:val="000000"/>
      <w:sz w:val="24"/>
      <w:szCs w:val="24"/>
    </w:rPr>
  </w:style>
  <w:style w:type="character" w:customStyle="1" w:styleId="87">
    <w:name w:val="fontstyle31"/>
    <w:basedOn w:val="28"/>
    <w:qFormat/>
    <w:uiPriority w:val="0"/>
    <w:rPr>
      <w:rFonts w:hint="default" w:ascii="New Gulim" w:hAnsi="New Gulim"/>
      <w:color w:val="000000"/>
      <w:sz w:val="24"/>
      <w:szCs w:val="24"/>
    </w:rPr>
  </w:style>
  <w:style w:type="character" w:customStyle="1" w:styleId="88">
    <w:name w:val="控呇湮佽恅苤蚼 红色"/>
    <w:basedOn w:val="28"/>
    <w:qFormat/>
    <w:uiPriority w:val="0"/>
    <w:rPr>
      <w:rFonts w:ascii="控呇湮佽恅苤蚼" w:hAnsi="控呇湮佽恅苤蚼" w:eastAsia="控呇湮佽恅苤蚼"/>
      <w:color w:val="FF0000"/>
    </w:rPr>
  </w:style>
  <w:style w:type="paragraph" w:customStyle="1" w:styleId="89">
    <w:name w:val="Char11"/>
    <w:basedOn w:val="1"/>
    <w:qFormat/>
    <w:uiPriority w:val="0"/>
    <w:rPr>
      <w:rFonts w:ascii="Tahoma" w:hAnsi="Tahoma"/>
      <w:szCs w:val="20"/>
    </w:rPr>
  </w:style>
  <w:style w:type="character" w:customStyle="1" w:styleId="90">
    <w:name w:val="标题 字符"/>
    <w:basedOn w:val="28"/>
    <w:link w:val="24"/>
    <w:qFormat/>
    <w:uiPriority w:val="10"/>
    <w:rPr>
      <w:rFonts w:asciiTheme="majorHAnsi" w:hAnsiTheme="majorHAnsi" w:cstheme="majorBidi"/>
      <w:b/>
      <w:bCs/>
      <w:kern w:val="2"/>
      <w:sz w:val="32"/>
      <w:szCs w:val="32"/>
    </w:rPr>
  </w:style>
  <w:style w:type="paragraph" w:customStyle="1" w:styleId="91">
    <w:name w:val="样式4"/>
    <w:basedOn w:val="1"/>
    <w:qFormat/>
    <w:uiPriority w:val="0"/>
    <w:pPr>
      <w:spacing w:line="360" w:lineRule="auto"/>
      <w:jc w:val="center"/>
    </w:pPr>
    <w:rPr>
      <w:rFonts w:asciiTheme="minorHAnsi" w:hAnsiTheme="minorHAnsi" w:eastAsiaTheme="minorEastAsia" w:cstheme="minorBidi"/>
      <w:szCs w:val="21"/>
      <w:lang w:eastAsia="zh-TW"/>
    </w:rPr>
  </w:style>
  <w:style w:type="character" w:customStyle="1" w:styleId="92">
    <w:name w:val="未处理的提及1"/>
    <w:basedOn w:val="28"/>
    <w:semiHidden/>
    <w:unhideWhenUsed/>
    <w:qFormat/>
    <w:uiPriority w:val="99"/>
    <w:rPr>
      <w:color w:val="808080"/>
      <w:shd w:val="clear" w:color="auto" w:fill="E6E6E6"/>
    </w:rPr>
  </w:style>
  <w:style w:type="character" w:customStyle="1" w:styleId="93">
    <w:name w:val="批注文字 字符"/>
    <w:basedOn w:val="28"/>
    <w:link w:val="13"/>
    <w:qFormat/>
    <w:uiPriority w:val="0"/>
    <w:rPr>
      <w:rFonts w:asciiTheme="minorHAnsi" w:hAnsiTheme="minorHAnsi" w:eastAsiaTheme="minorEastAsia" w:cstheme="minorBidi"/>
      <w:kern w:val="2"/>
      <w:sz w:val="21"/>
      <w:szCs w:val="22"/>
    </w:rPr>
  </w:style>
  <w:style w:type="character" w:customStyle="1" w:styleId="94">
    <w:name w:val="批注主题 字符"/>
    <w:basedOn w:val="93"/>
    <w:link w:val="25"/>
    <w:qFormat/>
    <w:uiPriority w:val="99"/>
    <w:rPr>
      <w:rFonts w:asciiTheme="minorHAnsi" w:hAnsiTheme="minorHAnsi" w:eastAsiaTheme="minorEastAsia" w:cstheme="minorBidi"/>
      <w:b/>
      <w:bCs/>
      <w:kern w:val="2"/>
      <w:sz w:val="21"/>
      <w:szCs w:val="22"/>
    </w:rPr>
  </w:style>
  <w:style w:type="character" w:customStyle="1" w:styleId="95">
    <w:name w:val="标题 5 字符"/>
    <w:basedOn w:val="28"/>
    <w:qFormat/>
    <w:uiPriority w:val="9"/>
    <w:rPr>
      <w:rFonts w:ascii="宋体" w:hAnsi="宋体"/>
      <w:b/>
      <w:bCs/>
      <w:kern w:val="2"/>
      <w:sz w:val="28"/>
      <w:szCs w:val="28"/>
    </w:rPr>
  </w:style>
  <w:style w:type="character" w:customStyle="1" w:styleId="96">
    <w:name w:val="mw-headline"/>
    <w:basedOn w:val="28"/>
    <w:qFormat/>
    <w:uiPriority w:val="0"/>
  </w:style>
  <w:style w:type="character" w:customStyle="1" w:styleId="97">
    <w:name w:val="标题 5 字符1"/>
    <w:link w:val="6"/>
    <w:qFormat/>
    <w:uiPriority w:val="9"/>
    <w:rPr>
      <w:rFonts w:ascii="宋体-方正超大字符集" w:eastAsia="宋体-方正超大字符集"/>
      <w:b/>
      <w:bCs/>
      <w:kern w:val="2"/>
      <w:sz w:val="24"/>
      <w:szCs w:val="28"/>
    </w:rPr>
  </w:style>
  <w:style w:type="character" w:customStyle="1" w:styleId="98">
    <w:name w:val="副标题 字符1"/>
    <w:link w:val="21"/>
    <w:qFormat/>
    <w:uiPriority w:val="11"/>
    <w:rPr>
      <w:rFonts w:ascii="Cambria" w:hAnsi="Cambria"/>
      <w:b/>
      <w:bCs/>
      <w:kern w:val="28"/>
      <w:sz w:val="24"/>
      <w:szCs w:val="32"/>
    </w:rPr>
  </w:style>
  <w:style w:type="character" w:customStyle="1" w:styleId="99">
    <w:name w:val="副标题 字符"/>
    <w:basedOn w:val="28"/>
    <w:qFormat/>
    <w:uiPriority w:val="11"/>
    <w:rPr>
      <w:rFonts w:asciiTheme="minorHAnsi" w:hAnsiTheme="minorHAnsi" w:eastAsiaTheme="minorEastAsia" w:cstheme="minorBidi"/>
      <w:b/>
      <w:bCs/>
      <w:kern w:val="28"/>
      <w:sz w:val="32"/>
      <w:szCs w:val="32"/>
    </w:rPr>
  </w:style>
  <w:style w:type="character" w:customStyle="1" w:styleId="100">
    <w:name w:val="文档结构图 字符"/>
    <w:basedOn w:val="28"/>
    <w:qFormat/>
    <w:uiPriority w:val="0"/>
    <w:rPr>
      <w:rFonts w:ascii="Microsoft YaHei UI" w:hAnsi="宋体" w:eastAsia="Microsoft YaHei UI"/>
      <w:kern w:val="2"/>
      <w:sz w:val="18"/>
      <w:szCs w:val="18"/>
    </w:rPr>
  </w:style>
  <w:style w:type="character" w:customStyle="1" w:styleId="101">
    <w:name w:val="文档结构图 字符1"/>
    <w:link w:val="12"/>
    <w:semiHidden/>
    <w:qFormat/>
    <w:uiPriority w:val="99"/>
    <w:rPr>
      <w:rFonts w:ascii="宋体" w:hAnsi="Times New Roman"/>
      <w:kern w:val="2"/>
      <w:sz w:val="18"/>
      <w:szCs w:val="18"/>
    </w:rPr>
  </w:style>
  <w:style w:type="character" w:customStyle="1" w:styleId="102">
    <w:name w:val="标题 1 Char"/>
    <w:qFormat/>
    <w:uiPriority w:val="9"/>
    <w:rPr>
      <w:rFonts w:ascii="宋体-方正超大字符集" w:eastAsia="宋体-方正超大字符集"/>
      <w:b/>
      <w:bCs/>
      <w:kern w:val="44"/>
      <w:sz w:val="44"/>
      <w:szCs w:val="44"/>
    </w:rPr>
  </w:style>
  <w:style w:type="character" w:customStyle="1" w:styleId="103">
    <w:name w:val="页脚 Char"/>
    <w:qFormat/>
    <w:uiPriority w:val="99"/>
    <w:rPr>
      <w:rFonts w:ascii="宋体-方正超大字符集" w:eastAsia="宋体-方正超大字符集"/>
      <w:kern w:val="2"/>
      <w:sz w:val="18"/>
      <w:szCs w:val="22"/>
    </w:rPr>
  </w:style>
  <w:style w:type="character" w:customStyle="1" w:styleId="104">
    <w:name w:val="divimport1"/>
    <w:qFormat/>
    <w:uiPriority w:val="0"/>
    <w:rPr>
      <w:rFonts w:hint="default" w:ascii="ˎ̥" w:hAnsi="ˎ̥"/>
      <w:sz w:val="21"/>
      <w:szCs w:val="21"/>
    </w:rPr>
  </w:style>
  <w:style w:type="paragraph" w:customStyle="1" w:styleId="105">
    <w:name w:val="引文"/>
    <w:basedOn w:val="1"/>
    <w:qFormat/>
    <w:uiPriority w:val="0"/>
    <w:pPr>
      <w:widowControl/>
      <w:ind w:left="210" w:leftChars="100" w:firstLine="480" w:firstLineChars="200"/>
      <w:jc w:val="left"/>
    </w:pPr>
    <w:rPr>
      <w:rFonts w:ascii="仿宋" w:hAnsi="仿宋" w:eastAsia="仿宋" w:cs="宋体"/>
      <w:kern w:val="0"/>
      <w:szCs w:val="24"/>
    </w:rPr>
  </w:style>
  <w:style w:type="paragraph" w:customStyle="1" w:styleId="106">
    <w:name w:val="注釋"/>
    <w:basedOn w:val="1"/>
    <w:qFormat/>
    <w:uiPriority w:val="0"/>
    <w:pPr>
      <w:wordWrap w:val="0"/>
      <w:spacing w:line="400" w:lineRule="exact"/>
      <w:ind w:firstLine="200" w:firstLineChars="200"/>
      <w:jc w:val="left"/>
      <w:textAlignment w:val="center"/>
    </w:pPr>
    <w:rPr>
      <w:rFonts w:ascii="Times New Roman" w:hAnsi="Times New Roman" w:cstheme="minorBidi"/>
      <w:sz w:val="18"/>
      <w:szCs w:val="21"/>
    </w:rPr>
  </w:style>
  <w:style w:type="character" w:customStyle="1" w:styleId="107">
    <w:name w:val="Strong Emphasis"/>
    <w:qFormat/>
    <w:uiPriority w:val="0"/>
    <w:rPr>
      <w:b/>
      <w:bCs/>
    </w:rPr>
  </w:style>
  <w:style w:type="character" w:customStyle="1" w:styleId="108">
    <w:name w:val="Endnote Characters"/>
    <w:qFormat/>
    <w:uiPriority w:val="0"/>
  </w:style>
  <w:style w:type="character" w:customStyle="1" w:styleId="109">
    <w:name w:val="Footnote Characters"/>
    <w:qFormat/>
    <w:uiPriority w:val="0"/>
  </w:style>
  <w:style w:type="paragraph" w:customStyle="1" w:styleId="110">
    <w:name w:val="Endnote Symbol"/>
    <w:basedOn w:val="1"/>
    <w:qFormat/>
    <w:uiPriority w:val="0"/>
    <w:pPr>
      <w:widowControl/>
      <w:suppressLineNumbers/>
      <w:suppressAutoHyphens/>
      <w:overflowPunct w:val="0"/>
      <w:ind w:left="339" w:hanging="339"/>
      <w:jc w:val="left"/>
    </w:pPr>
    <w:rPr>
      <w:rFonts w:ascii="Liberation Serif;Times New Roma" w:hAnsi="Liberation Serif;Times New Roma" w:eastAsia="新宋体" w:cs="Mangal"/>
      <w:color w:val="00000A"/>
      <w:sz w:val="20"/>
      <w:szCs w:val="20"/>
      <w:lang w:bidi="hi-IN"/>
    </w:rPr>
  </w:style>
  <w:style w:type="character" w:customStyle="1" w:styleId="111">
    <w:name w:val="未处理的提及2"/>
    <w:basedOn w:val="28"/>
    <w:semiHidden/>
    <w:unhideWhenUsed/>
    <w:qFormat/>
    <w:uiPriority w:val="99"/>
    <w:rPr>
      <w:color w:val="605E5C"/>
      <w:shd w:val="clear" w:color="auto" w:fill="E1DFDD"/>
    </w:rPr>
  </w:style>
  <w:style w:type="table" w:customStyle="1" w:styleId="112">
    <w:name w:val="网格型1"/>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3">
    <w:name w:val="Quote"/>
    <w:basedOn w:val="1"/>
    <w:next w:val="1"/>
    <w:link w:val="114"/>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14">
    <w:name w:val="引用 字符"/>
    <w:basedOn w:val="28"/>
    <w:link w:val="113"/>
    <w:qFormat/>
    <w:uiPriority w:val="29"/>
    <w:rPr>
      <w:rFonts w:ascii="宋体" w:hAnsi="宋体"/>
      <w:i/>
      <w:iCs/>
      <w:color w:val="404040" w:themeColor="text1" w:themeTint="BF"/>
      <w:kern w:val="2"/>
      <w:sz w:val="24"/>
      <w:szCs w:val="22"/>
      <w14:textFill>
        <w14:solidFill>
          <w14:schemeClr w14:val="tx1">
            <w14:lumMod w14:val="75000"/>
            <w14:lumOff w14:val="25000"/>
          </w14:schemeClr>
        </w14:solidFill>
      </w14:textFill>
    </w:rPr>
  </w:style>
  <w:style w:type="paragraph" w:customStyle="1" w:styleId="115">
    <w:name w:val="标题1"/>
    <w:basedOn w:val="1"/>
    <w:link w:val="116"/>
    <w:qFormat/>
    <w:uiPriority w:val="0"/>
    <w:pPr>
      <w:snapToGrid w:val="0"/>
      <w:spacing w:line="500" w:lineRule="atLeast"/>
      <w:ind w:firstLine="200" w:firstLineChars="200"/>
      <w:jc w:val="center"/>
    </w:pPr>
    <w:rPr>
      <w:rFonts w:ascii="方正书宋简体" w:hAnsi="Calibri" w:eastAsia="方正书宋简体"/>
      <w:sz w:val="36"/>
      <w:szCs w:val="36"/>
    </w:rPr>
  </w:style>
  <w:style w:type="character" w:customStyle="1" w:styleId="116">
    <w:name w:val="标题1 Char"/>
    <w:link w:val="115"/>
    <w:uiPriority w:val="0"/>
    <w:rPr>
      <w:rFonts w:ascii="方正书宋简体" w:eastAsia="方正书宋简体"/>
      <w:kern w:val="2"/>
      <w:sz w:val="36"/>
      <w:szCs w:val="36"/>
    </w:rPr>
  </w:style>
  <w:style w:type="paragraph" w:customStyle="1" w:styleId="117">
    <w:name w:val="作者行"/>
    <w:basedOn w:val="1"/>
    <w:link w:val="119"/>
    <w:qFormat/>
    <w:uiPriority w:val="0"/>
    <w:pPr>
      <w:snapToGrid w:val="0"/>
      <w:spacing w:line="520" w:lineRule="atLeast"/>
      <w:jc w:val="center"/>
    </w:pPr>
    <w:rPr>
      <w:rFonts w:ascii="方正仿宋简体" w:hAnsi="Times New Roman" w:eastAsia="方正仿宋简体"/>
      <w:sz w:val="28"/>
      <w:szCs w:val="28"/>
    </w:rPr>
  </w:style>
  <w:style w:type="paragraph" w:customStyle="1" w:styleId="118">
    <w:name w:val="样式1副标题"/>
    <w:basedOn w:val="21"/>
    <w:link w:val="121"/>
    <w:qFormat/>
    <w:uiPriority w:val="0"/>
    <w:pPr>
      <w:snapToGrid w:val="0"/>
      <w:spacing w:before="0" w:beforeLines="0" w:after="0" w:afterLines="0" w:line="500" w:lineRule="atLeast"/>
      <w:textAlignment w:val="auto"/>
    </w:pPr>
    <w:rPr>
      <w:rFonts w:ascii="方正楷体简体" w:eastAsia="方正楷体简体"/>
      <w:b w:val="0"/>
      <w:w w:val="120"/>
      <w:kern w:val="2"/>
      <w:sz w:val="28"/>
    </w:rPr>
  </w:style>
  <w:style w:type="character" w:customStyle="1" w:styleId="119">
    <w:name w:val="作者行 Char"/>
    <w:link w:val="117"/>
    <w:qFormat/>
    <w:uiPriority w:val="0"/>
    <w:rPr>
      <w:rFonts w:ascii="方正仿宋简体" w:hAnsi="Times New Roman" w:eastAsia="方正仿宋简体"/>
      <w:kern w:val="2"/>
      <w:sz w:val="28"/>
      <w:szCs w:val="28"/>
    </w:rPr>
  </w:style>
  <w:style w:type="paragraph" w:customStyle="1" w:styleId="120">
    <w:name w:val="样式1标题2"/>
    <w:basedOn w:val="1"/>
    <w:link w:val="122"/>
    <w:qFormat/>
    <w:uiPriority w:val="0"/>
    <w:pPr>
      <w:snapToGrid w:val="0"/>
      <w:spacing w:beforeLines="100" w:afterLines="100" w:line="366" w:lineRule="atLeast"/>
      <w:ind w:firstLine="200" w:firstLineChars="200"/>
      <w:jc w:val="center"/>
    </w:pPr>
    <w:rPr>
      <w:rFonts w:ascii="方正楷体简体" w:hAnsi="Calibri" w:eastAsia="方正楷体简体"/>
      <w:w w:val="120"/>
      <w:sz w:val="28"/>
      <w:szCs w:val="28"/>
    </w:rPr>
  </w:style>
  <w:style w:type="character" w:customStyle="1" w:styleId="121">
    <w:name w:val="样式1副标题 Char"/>
    <w:link w:val="118"/>
    <w:qFormat/>
    <w:uiPriority w:val="0"/>
    <w:rPr>
      <w:rFonts w:ascii="方正楷体简体" w:hAnsi="Cambria" w:eastAsia="方正楷体简体"/>
      <w:bCs/>
      <w:w w:val="120"/>
      <w:kern w:val="2"/>
      <w:sz w:val="28"/>
      <w:szCs w:val="32"/>
    </w:rPr>
  </w:style>
  <w:style w:type="character" w:customStyle="1" w:styleId="122">
    <w:name w:val="样式1标题2 Char"/>
    <w:link w:val="120"/>
    <w:qFormat/>
    <w:uiPriority w:val="0"/>
    <w:rPr>
      <w:rFonts w:ascii="方正楷体简体" w:eastAsia="方正楷体简体"/>
      <w:w w:val="120"/>
      <w:kern w:val="2"/>
      <w:sz w:val="28"/>
      <w:szCs w:val="28"/>
    </w:rPr>
  </w:style>
  <w:style w:type="paragraph" w:customStyle="1" w:styleId="123">
    <w:name w:val="样式2标题3"/>
    <w:basedOn w:val="1"/>
    <w:link w:val="124"/>
    <w:qFormat/>
    <w:uiPriority w:val="0"/>
    <w:pPr>
      <w:snapToGrid w:val="0"/>
      <w:spacing w:beforeLines="50" w:afterLines="50" w:line="366" w:lineRule="atLeast"/>
      <w:ind w:firstLine="459" w:firstLineChars="200"/>
    </w:pPr>
    <w:rPr>
      <w:rFonts w:ascii="方正黑体简体" w:hAnsi="Calibri" w:eastAsia="方正黑体简体"/>
      <w:w w:val="110"/>
      <w:sz w:val="21"/>
      <w:szCs w:val="21"/>
    </w:rPr>
  </w:style>
  <w:style w:type="character" w:customStyle="1" w:styleId="124">
    <w:name w:val="样式2标题3 Char"/>
    <w:link w:val="123"/>
    <w:qFormat/>
    <w:uiPriority w:val="0"/>
    <w:rPr>
      <w:rFonts w:ascii="方正黑体简体" w:eastAsia="方正黑体简体"/>
      <w:w w:val="110"/>
      <w:kern w:val="2"/>
      <w:sz w:val="21"/>
      <w:szCs w:val="21"/>
    </w:rPr>
  </w:style>
  <w:style w:type="paragraph" w:customStyle="1" w:styleId="125">
    <w:name w:val="副标题，标题2"/>
    <w:basedOn w:val="118"/>
    <w:next w:val="14"/>
    <w:link w:val="127"/>
    <w:qFormat/>
    <w:uiPriority w:val="0"/>
  </w:style>
  <w:style w:type="paragraph" w:customStyle="1" w:styleId="126">
    <w:name w:val="样式1标题4"/>
    <w:basedOn w:val="1"/>
    <w:link w:val="128"/>
    <w:qFormat/>
    <w:uiPriority w:val="0"/>
    <w:pPr>
      <w:snapToGrid w:val="0"/>
      <w:spacing w:line="366" w:lineRule="atLeast"/>
      <w:ind w:firstLine="420" w:firstLineChars="200"/>
    </w:pPr>
    <w:rPr>
      <w:rFonts w:ascii="方正黑体简体" w:hAnsi="Times New Roman" w:eastAsia="方正黑体简体"/>
      <w:sz w:val="21"/>
      <w:szCs w:val="24"/>
    </w:rPr>
  </w:style>
  <w:style w:type="character" w:customStyle="1" w:styleId="127">
    <w:name w:val="副标题，标题2 Char"/>
    <w:link w:val="125"/>
    <w:qFormat/>
    <w:uiPriority w:val="0"/>
    <w:rPr>
      <w:rFonts w:ascii="方正楷体简体" w:hAnsi="Cambria" w:eastAsia="方正楷体简体"/>
      <w:bCs/>
      <w:w w:val="120"/>
      <w:kern w:val="2"/>
      <w:sz w:val="28"/>
      <w:szCs w:val="32"/>
    </w:rPr>
  </w:style>
  <w:style w:type="character" w:customStyle="1" w:styleId="128">
    <w:name w:val="样式1标题4 Char"/>
    <w:link w:val="126"/>
    <w:qFormat/>
    <w:uiPriority w:val="0"/>
    <w:rPr>
      <w:rFonts w:ascii="方正黑体简体" w:hAnsi="Times New Roman" w:eastAsia="方正黑体简体"/>
      <w:kern w:val="2"/>
      <w:sz w:val="21"/>
      <w:szCs w:val="24"/>
    </w:rPr>
  </w:style>
  <w:style w:type="paragraph" w:customStyle="1" w:styleId="129">
    <w:name w:val="标题４"/>
    <w:basedOn w:val="126"/>
    <w:next w:val="14"/>
    <w:link w:val="130"/>
    <w:qFormat/>
    <w:uiPriority w:val="0"/>
    <w:pPr>
      <w:ind w:firstLine="400"/>
    </w:pPr>
  </w:style>
  <w:style w:type="character" w:customStyle="1" w:styleId="130">
    <w:name w:val="标题４ Char"/>
    <w:link w:val="129"/>
    <w:qFormat/>
    <w:uiPriority w:val="0"/>
    <w:rPr>
      <w:rFonts w:ascii="方正黑体简体" w:hAnsi="Times New Roman" w:eastAsia="方正黑体简体"/>
      <w:kern w:val="2"/>
      <w:sz w:val="21"/>
      <w:szCs w:val="24"/>
    </w:rPr>
  </w:style>
  <w:style w:type="character" w:customStyle="1" w:styleId="131">
    <w:name w:val="正文文本缩进 字符"/>
    <w:basedOn w:val="28"/>
    <w:link w:val="15"/>
    <w:qFormat/>
    <w:uiPriority w:val="0"/>
    <w:rPr>
      <w:rFonts w:ascii="Times New Roman" w:hAnsi="Times New Roman" w:eastAsia="方正书宋简体"/>
      <w:kern w:val="2"/>
      <w:szCs w:val="24"/>
    </w:rPr>
  </w:style>
  <w:style w:type="paragraph" w:customStyle="1" w:styleId="132">
    <w:name w:val="论丛标题"/>
    <w:basedOn w:val="2"/>
    <w:link w:val="134"/>
    <w:qFormat/>
    <w:uiPriority w:val="0"/>
    <w:pPr>
      <w:adjustRightInd w:val="0"/>
      <w:snapToGrid w:val="0"/>
      <w:spacing w:before="0" w:after="0" w:line="240" w:lineRule="auto"/>
      <w:jc w:val="center"/>
    </w:pPr>
    <w:rPr>
      <w:rFonts w:ascii="方正书宋简体" w:hAnsi="Times New Roman" w:eastAsia="方正书宋简体"/>
      <w:b w:val="0"/>
      <w:snapToGrid w:val="0"/>
      <w:sz w:val="36"/>
    </w:rPr>
  </w:style>
  <w:style w:type="paragraph" w:customStyle="1" w:styleId="133">
    <w:name w:val="论丛副题"/>
    <w:basedOn w:val="125"/>
    <w:link w:val="136"/>
    <w:qFormat/>
    <w:uiPriority w:val="0"/>
    <w:pPr>
      <w:adjustRightInd w:val="0"/>
      <w:spacing w:line="240" w:lineRule="auto"/>
      <w:outlineLvl w:val="0"/>
    </w:pPr>
    <w:rPr>
      <w:snapToGrid w:val="0"/>
    </w:rPr>
  </w:style>
  <w:style w:type="character" w:customStyle="1" w:styleId="134">
    <w:name w:val="论丛标题 Char"/>
    <w:basedOn w:val="55"/>
    <w:link w:val="132"/>
    <w:qFormat/>
    <w:uiPriority w:val="0"/>
    <w:rPr>
      <w:rFonts w:ascii="方正书宋简体" w:hAnsi="Times New Roman" w:eastAsia="方正书宋简体"/>
      <w:b w:val="0"/>
      <w:snapToGrid w:val="0"/>
      <w:kern w:val="44"/>
      <w:sz w:val="36"/>
      <w:szCs w:val="44"/>
    </w:rPr>
  </w:style>
  <w:style w:type="paragraph" w:customStyle="1" w:styleId="135">
    <w:name w:val="论丛作者"/>
    <w:basedOn w:val="117"/>
    <w:link w:val="138"/>
    <w:qFormat/>
    <w:uiPriority w:val="0"/>
    <w:pPr>
      <w:adjustRightInd w:val="0"/>
      <w:spacing w:line="240" w:lineRule="auto"/>
      <w:outlineLvl w:val="0"/>
    </w:pPr>
  </w:style>
  <w:style w:type="character" w:customStyle="1" w:styleId="136">
    <w:name w:val="论丛副题 Char"/>
    <w:basedOn w:val="127"/>
    <w:link w:val="133"/>
    <w:qFormat/>
    <w:uiPriority w:val="0"/>
    <w:rPr>
      <w:rFonts w:ascii="方正楷体简体" w:hAnsi="Cambria" w:eastAsia="方正楷体简体"/>
      <w:snapToGrid w:val="0"/>
      <w:w w:val="120"/>
      <w:kern w:val="2"/>
      <w:sz w:val="28"/>
      <w:szCs w:val="32"/>
    </w:rPr>
  </w:style>
  <w:style w:type="paragraph" w:customStyle="1" w:styleId="137">
    <w:name w:val="论丛题注"/>
    <w:basedOn w:val="22"/>
    <w:link w:val="140"/>
    <w:qFormat/>
    <w:uiPriority w:val="0"/>
    <w:pPr>
      <w:adjustRightInd w:val="0"/>
      <w:ind w:firstLine="200" w:firstLineChars="200"/>
      <w:jc w:val="both"/>
    </w:pPr>
    <w:rPr>
      <w:rFonts w:eastAsia="方正书宋简体"/>
      <w:snapToGrid w:val="0"/>
      <w:w w:val="110"/>
      <w:kern w:val="0"/>
      <w:sz w:val="15"/>
      <w:szCs w:val="15"/>
      <w:lang w:eastAsia="zh-CN"/>
    </w:rPr>
  </w:style>
  <w:style w:type="character" w:customStyle="1" w:styleId="138">
    <w:name w:val="论丛作者 Char"/>
    <w:basedOn w:val="119"/>
    <w:link w:val="135"/>
    <w:qFormat/>
    <w:uiPriority w:val="0"/>
    <w:rPr>
      <w:rFonts w:ascii="方正仿宋简体" w:hAnsi="Times New Roman" w:eastAsia="方正仿宋简体"/>
      <w:kern w:val="2"/>
      <w:sz w:val="28"/>
      <w:szCs w:val="28"/>
    </w:rPr>
  </w:style>
  <w:style w:type="paragraph" w:customStyle="1" w:styleId="139">
    <w:name w:val="论丛提要"/>
    <w:basedOn w:val="1"/>
    <w:link w:val="142"/>
    <w:qFormat/>
    <w:uiPriority w:val="0"/>
    <w:pPr>
      <w:adjustRightInd w:val="0"/>
      <w:snapToGrid w:val="0"/>
      <w:ind w:left="422" w:leftChars="200"/>
    </w:pPr>
    <w:rPr>
      <w:rFonts w:ascii="方正书宋简体" w:hAnsi="Times New Roman" w:eastAsia="方正书宋简体"/>
      <w:snapToGrid w:val="0"/>
      <w:kern w:val="0"/>
      <w:sz w:val="18"/>
      <w:szCs w:val="18"/>
    </w:rPr>
  </w:style>
  <w:style w:type="character" w:customStyle="1" w:styleId="140">
    <w:name w:val="论丛题注 Char"/>
    <w:basedOn w:val="79"/>
    <w:link w:val="137"/>
    <w:qFormat/>
    <w:uiPriority w:val="0"/>
    <w:rPr>
      <w:rFonts w:ascii="Times New Roman" w:hAnsi="Times New Roman" w:eastAsia="方正书宋简体"/>
      <w:snapToGrid w:val="0"/>
      <w:w w:val="110"/>
      <w:sz w:val="15"/>
      <w:szCs w:val="15"/>
    </w:rPr>
  </w:style>
  <w:style w:type="paragraph" w:customStyle="1" w:styleId="141">
    <w:name w:val="论丛题1"/>
    <w:basedOn w:val="3"/>
    <w:link w:val="144"/>
    <w:qFormat/>
    <w:uiPriority w:val="0"/>
    <w:pPr>
      <w:adjustRightInd w:val="0"/>
      <w:snapToGrid w:val="0"/>
      <w:spacing w:before="377" w:beforeLines="100" w:after="377" w:afterLines="100" w:line="366" w:lineRule="exact"/>
      <w:jc w:val="center"/>
    </w:pPr>
    <w:rPr>
      <w:rFonts w:ascii="方正楷体简体" w:hAnsi="Arial" w:eastAsia="方正楷体简体"/>
      <w:b w:val="0"/>
      <w:w w:val="120"/>
      <w:kern w:val="2"/>
      <w:sz w:val="28"/>
    </w:rPr>
  </w:style>
  <w:style w:type="character" w:customStyle="1" w:styleId="142">
    <w:name w:val="论丛提要 Char"/>
    <w:basedOn w:val="28"/>
    <w:link w:val="139"/>
    <w:qFormat/>
    <w:uiPriority w:val="0"/>
    <w:rPr>
      <w:rFonts w:ascii="方正书宋简体" w:hAnsi="Times New Roman" w:eastAsia="方正书宋简体"/>
      <w:snapToGrid w:val="0"/>
      <w:sz w:val="18"/>
      <w:szCs w:val="18"/>
    </w:rPr>
  </w:style>
  <w:style w:type="paragraph" w:customStyle="1" w:styleId="143">
    <w:name w:val="论丛正文"/>
    <w:basedOn w:val="1"/>
    <w:link w:val="146"/>
    <w:qFormat/>
    <w:uiPriority w:val="0"/>
    <w:pPr>
      <w:spacing w:line="366" w:lineRule="exact"/>
      <w:ind w:firstLine="422" w:firstLineChars="200"/>
    </w:pPr>
    <w:rPr>
      <w:rFonts w:ascii="方正书宋简体" w:hAnsi="Times New Roman" w:eastAsia="方正书宋简体"/>
      <w:sz w:val="20"/>
      <w:szCs w:val="20"/>
    </w:rPr>
  </w:style>
  <w:style w:type="character" w:customStyle="1" w:styleId="144">
    <w:name w:val="论丛题1 Char"/>
    <w:basedOn w:val="56"/>
    <w:link w:val="141"/>
    <w:qFormat/>
    <w:uiPriority w:val="0"/>
    <w:rPr>
      <w:rFonts w:ascii="方正楷体简体" w:hAnsi="Arial" w:eastAsia="方正楷体简体" w:cs="Times New Roman"/>
      <w:b w:val="0"/>
      <w:w w:val="120"/>
      <w:kern w:val="2"/>
      <w:sz w:val="28"/>
      <w:szCs w:val="32"/>
    </w:rPr>
  </w:style>
  <w:style w:type="paragraph" w:customStyle="1" w:styleId="145">
    <w:name w:val="论丛题2"/>
    <w:basedOn w:val="4"/>
    <w:link w:val="148"/>
    <w:qFormat/>
    <w:uiPriority w:val="0"/>
    <w:pPr>
      <w:adjustRightInd w:val="0"/>
      <w:snapToGrid w:val="0"/>
      <w:spacing w:before="188" w:beforeLines="50" w:after="188" w:afterLines="50" w:line="366" w:lineRule="exact"/>
      <w:ind w:left="925" w:hanging="505"/>
    </w:pPr>
    <w:rPr>
      <w:rFonts w:ascii="方正黑体简体" w:hAnsi="Times New Roman" w:eastAsia="方正黑体简体"/>
      <w:b w:val="0"/>
      <w:snapToGrid w:val="0"/>
      <w:w w:val="110"/>
      <w:sz w:val="21"/>
    </w:rPr>
  </w:style>
  <w:style w:type="character" w:customStyle="1" w:styleId="146">
    <w:name w:val="论丛正文 Char"/>
    <w:basedOn w:val="28"/>
    <w:link w:val="143"/>
    <w:qFormat/>
    <w:uiPriority w:val="0"/>
    <w:rPr>
      <w:rFonts w:ascii="方正书宋简体" w:hAnsi="Times New Roman" w:eastAsia="方正书宋简体"/>
      <w:kern w:val="2"/>
    </w:rPr>
  </w:style>
  <w:style w:type="paragraph" w:customStyle="1" w:styleId="147">
    <w:name w:val="论丛题3"/>
    <w:basedOn w:val="129"/>
    <w:link w:val="150"/>
    <w:qFormat/>
    <w:uiPriority w:val="0"/>
    <w:pPr>
      <w:adjustRightInd w:val="0"/>
      <w:spacing w:line="366" w:lineRule="exact"/>
      <w:ind w:firstLine="442"/>
      <w:outlineLvl w:val="3"/>
    </w:pPr>
    <w:rPr>
      <w:snapToGrid w:val="0"/>
    </w:rPr>
  </w:style>
  <w:style w:type="character" w:customStyle="1" w:styleId="148">
    <w:name w:val="论丛题2 Char"/>
    <w:basedOn w:val="57"/>
    <w:link w:val="145"/>
    <w:qFormat/>
    <w:uiPriority w:val="0"/>
    <w:rPr>
      <w:rFonts w:ascii="方正黑体简体" w:hAnsi="Times New Roman" w:eastAsia="方正黑体简体"/>
      <w:b w:val="0"/>
      <w:snapToGrid w:val="0"/>
      <w:w w:val="110"/>
      <w:sz w:val="21"/>
      <w:szCs w:val="32"/>
    </w:rPr>
  </w:style>
  <w:style w:type="paragraph" w:customStyle="1" w:styleId="149">
    <w:name w:val="论丛引例"/>
    <w:basedOn w:val="1"/>
    <w:link w:val="152"/>
    <w:qFormat/>
    <w:uiPriority w:val="0"/>
    <w:pPr>
      <w:snapToGrid w:val="0"/>
      <w:spacing w:line="366" w:lineRule="exact"/>
      <w:ind w:left="211" w:leftChars="100" w:firstLine="422" w:firstLineChars="200"/>
    </w:pPr>
    <w:rPr>
      <w:rFonts w:ascii="方正仿宋简体" w:hAnsi="Times New Roman" w:eastAsia="方正仿宋简体"/>
      <w:sz w:val="20"/>
      <w:szCs w:val="20"/>
    </w:rPr>
  </w:style>
  <w:style w:type="character" w:customStyle="1" w:styleId="150">
    <w:name w:val="论丛题3 Char"/>
    <w:basedOn w:val="130"/>
    <w:link w:val="147"/>
    <w:qFormat/>
    <w:uiPriority w:val="0"/>
    <w:rPr>
      <w:rFonts w:ascii="方正黑体简体" w:hAnsi="Times New Roman" w:eastAsia="方正黑体简体"/>
      <w:snapToGrid w:val="0"/>
      <w:kern w:val="2"/>
      <w:sz w:val="21"/>
      <w:szCs w:val="24"/>
    </w:rPr>
  </w:style>
  <w:style w:type="paragraph" w:customStyle="1" w:styleId="151">
    <w:name w:val="论丛表题"/>
    <w:basedOn w:val="1"/>
    <w:link w:val="154"/>
    <w:qFormat/>
    <w:uiPriority w:val="0"/>
    <w:pPr>
      <w:snapToGrid w:val="0"/>
      <w:spacing w:line="366" w:lineRule="exact"/>
      <w:jc w:val="left"/>
    </w:pPr>
    <w:rPr>
      <w:rFonts w:ascii="方正准圆简体" w:hAnsi="Times New Roman" w:eastAsia="方正准圆简体"/>
      <w:w w:val="110"/>
      <w:sz w:val="18"/>
      <w:szCs w:val="18"/>
    </w:rPr>
  </w:style>
  <w:style w:type="character" w:customStyle="1" w:styleId="152">
    <w:name w:val="论丛引例 Char"/>
    <w:basedOn w:val="28"/>
    <w:link w:val="149"/>
    <w:qFormat/>
    <w:uiPriority w:val="0"/>
    <w:rPr>
      <w:rFonts w:ascii="方正仿宋简体" w:hAnsi="Times New Roman" w:eastAsia="方正仿宋简体"/>
      <w:kern w:val="2"/>
    </w:rPr>
  </w:style>
  <w:style w:type="paragraph" w:customStyle="1" w:styleId="153">
    <w:name w:val="论丛附参题"/>
    <w:basedOn w:val="17"/>
    <w:link w:val="156"/>
    <w:qFormat/>
    <w:uiPriority w:val="0"/>
    <w:pPr>
      <w:spacing w:beforeLines="50" w:afterLines="50" w:line="300" w:lineRule="atLeast"/>
    </w:pPr>
    <w:rPr>
      <w:rFonts w:ascii="方正黑体简体" w:hAnsi="Times New Roman" w:eastAsia="方正黑体简体"/>
      <w:snapToGrid w:val="0"/>
      <w:sz w:val="18"/>
      <w:szCs w:val="18"/>
    </w:rPr>
  </w:style>
  <w:style w:type="character" w:customStyle="1" w:styleId="154">
    <w:name w:val="论丛表题 Char"/>
    <w:basedOn w:val="28"/>
    <w:link w:val="151"/>
    <w:qFormat/>
    <w:uiPriority w:val="0"/>
    <w:rPr>
      <w:rFonts w:ascii="方正准圆简体" w:hAnsi="Times New Roman" w:eastAsia="方正准圆简体"/>
      <w:w w:val="110"/>
      <w:kern w:val="2"/>
      <w:sz w:val="18"/>
      <w:szCs w:val="18"/>
    </w:rPr>
  </w:style>
  <w:style w:type="paragraph" w:customStyle="1" w:styleId="155">
    <w:name w:val="论丛附参文"/>
    <w:basedOn w:val="143"/>
    <w:link w:val="158"/>
    <w:qFormat/>
    <w:uiPriority w:val="0"/>
    <w:pPr>
      <w:spacing w:line="300" w:lineRule="exact"/>
      <w:ind w:firstLine="382"/>
    </w:pPr>
    <w:rPr>
      <w:sz w:val="18"/>
      <w:szCs w:val="18"/>
    </w:rPr>
  </w:style>
  <w:style w:type="character" w:customStyle="1" w:styleId="156">
    <w:name w:val="论丛附参题 Char"/>
    <w:basedOn w:val="78"/>
    <w:link w:val="153"/>
    <w:qFormat/>
    <w:uiPriority w:val="0"/>
    <w:rPr>
      <w:rFonts w:ascii="方正黑体简体" w:hAnsi="Times New Roman" w:eastAsia="方正黑体简体"/>
      <w:snapToGrid w:val="0"/>
      <w:kern w:val="2"/>
      <w:sz w:val="18"/>
      <w:szCs w:val="18"/>
    </w:rPr>
  </w:style>
  <w:style w:type="paragraph" w:customStyle="1" w:styleId="157">
    <w:name w:val="论丛英摘"/>
    <w:basedOn w:val="1"/>
    <w:link w:val="159"/>
    <w:qFormat/>
    <w:uiPriority w:val="0"/>
    <w:pPr>
      <w:snapToGrid w:val="0"/>
      <w:spacing w:line="366" w:lineRule="exact"/>
    </w:pPr>
    <w:rPr>
      <w:rFonts w:ascii="方正书宋简体" w:hAnsi="Times New Roman" w:eastAsia="方正书宋简体"/>
      <w:sz w:val="21"/>
      <w:szCs w:val="21"/>
    </w:rPr>
  </w:style>
  <w:style w:type="character" w:customStyle="1" w:styleId="158">
    <w:name w:val="论丛附参文 Char"/>
    <w:basedOn w:val="146"/>
    <w:link w:val="155"/>
    <w:qFormat/>
    <w:uiPriority w:val="0"/>
    <w:rPr>
      <w:rFonts w:ascii="方正书宋简体" w:hAnsi="Times New Roman" w:eastAsia="方正书宋简体"/>
      <w:kern w:val="2"/>
      <w:sz w:val="18"/>
      <w:szCs w:val="18"/>
    </w:rPr>
  </w:style>
  <w:style w:type="character" w:customStyle="1" w:styleId="159">
    <w:name w:val="论丛英摘 Char"/>
    <w:basedOn w:val="28"/>
    <w:link w:val="157"/>
    <w:qFormat/>
    <w:uiPriority w:val="0"/>
    <w:rPr>
      <w:rFonts w:ascii="方正书宋简体" w:hAnsi="Times New Roman" w:eastAsia="方正书宋简体"/>
      <w:kern w:val="2"/>
      <w:sz w:val="21"/>
      <w:szCs w:val="21"/>
    </w:rPr>
  </w:style>
  <w:style w:type="paragraph" w:customStyle="1" w:styleId="160">
    <w:name w:val="修订1"/>
    <w:hidden/>
    <w:semiHidden/>
    <w:qFormat/>
    <w:uiPriority w:val="99"/>
    <w:rPr>
      <w:rFonts w:ascii="Times New Roman" w:hAnsi="Times New Roman" w:eastAsia="方正书宋简体" w:cs="Times New Roman"/>
      <w:kern w:val="2"/>
      <w:szCs w:val="24"/>
      <w:lang w:val="en-US" w:eastAsia="zh-CN" w:bidi="ar-SA"/>
    </w:rPr>
  </w:style>
  <w:style w:type="table" w:customStyle="1" w:styleId="161">
    <w:name w:val="网格型2"/>
    <w:basedOn w:val="26"/>
    <w:qFormat/>
    <w:uiPriority w:val="39"/>
    <w:rPr>
      <w:rFonts w:ascii="PMingLiU" w:hAnsi="宋体" w:eastAsia="PMingLi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2">
    <w:name w:val="ny_font_content"/>
    <w:basedOn w:val="28"/>
    <w:qFormat/>
    <w:uiPriority w:val="0"/>
  </w:style>
  <w:style w:type="table" w:customStyle="1" w:styleId="163">
    <w:name w:val="网格型3"/>
    <w:basedOn w:val="26"/>
    <w:qFormat/>
    <w:uiPriority w:val="39"/>
    <w:rPr>
      <w:rFonts w:ascii="宋体" w:hAnsi="宋体"/>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
    <w:name w:val="网格型4"/>
    <w:basedOn w:val="26"/>
    <w:qFormat/>
    <w:uiPriority w:val="39"/>
    <w:rPr>
      <w:rFonts w:ascii="Times New Roman" w:hAnsi="Times New Roman"/>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5">
    <w:name w:val="未处理的提及3"/>
    <w:basedOn w:val="28"/>
    <w:semiHidden/>
    <w:unhideWhenUsed/>
    <w:uiPriority w:val="99"/>
    <w:rPr>
      <w:color w:val="605E5C"/>
      <w:shd w:val="clear" w:color="auto" w:fill="E1DFDD"/>
    </w:rPr>
  </w:style>
  <w:style w:type="paragraph" w:customStyle="1" w:styleId="166">
    <w:name w:val="标题 41"/>
    <w:basedOn w:val="1"/>
    <w:next w:val="1"/>
    <w:unhideWhenUsed/>
    <w:qFormat/>
    <w:uiPriority w:val="9"/>
    <w:pPr>
      <w:keepNext/>
      <w:keepLines/>
      <w:spacing w:before="280" w:after="290" w:line="376" w:lineRule="auto"/>
      <w:textAlignment w:val="center"/>
      <w:outlineLvl w:val="3"/>
    </w:pPr>
    <w:rPr>
      <w:rFonts w:ascii="等线" w:hAnsi="等线 Light" w:eastAsia="等线"/>
      <w:b/>
      <w:bCs/>
      <w:sz w:val="28"/>
      <w:szCs w:val="28"/>
    </w:rPr>
  </w:style>
  <w:style w:type="paragraph" w:customStyle="1" w:styleId="167">
    <w:name w:val="标题 61"/>
    <w:basedOn w:val="1"/>
    <w:next w:val="1"/>
    <w:unhideWhenUsed/>
    <w:qFormat/>
    <w:uiPriority w:val="9"/>
    <w:pPr>
      <w:keepNext/>
      <w:keepLines/>
      <w:spacing w:before="240" w:after="64" w:line="320" w:lineRule="auto"/>
      <w:textAlignment w:val="center"/>
      <w:outlineLvl w:val="5"/>
    </w:pPr>
    <w:rPr>
      <w:rFonts w:ascii="等线" w:hAnsi="等线" w:eastAsia="等线"/>
      <w:b/>
      <w:bCs/>
      <w:sz w:val="21"/>
    </w:rPr>
  </w:style>
  <w:style w:type="character" w:customStyle="1" w:styleId="168">
    <w:name w:val="标题 7 字符"/>
    <w:basedOn w:val="28"/>
    <w:link w:val="8"/>
    <w:qFormat/>
    <w:uiPriority w:val="9"/>
    <w:rPr>
      <w:rFonts w:ascii="宋体" w:hAnsi="宋体"/>
      <w:b/>
      <w:bCs/>
      <w:kern w:val="2"/>
      <w:sz w:val="24"/>
      <w:szCs w:val="22"/>
    </w:rPr>
  </w:style>
  <w:style w:type="paragraph" w:customStyle="1" w:styleId="169">
    <w:name w:val="标题 81"/>
    <w:basedOn w:val="1"/>
    <w:next w:val="1"/>
    <w:unhideWhenUsed/>
    <w:qFormat/>
    <w:uiPriority w:val="9"/>
    <w:pPr>
      <w:keepNext/>
      <w:keepLines/>
      <w:spacing w:before="240" w:after="64" w:line="320" w:lineRule="auto"/>
      <w:textAlignment w:val="center"/>
      <w:outlineLvl w:val="7"/>
    </w:pPr>
    <w:rPr>
      <w:rFonts w:ascii="等线" w:hAnsi="等线" w:eastAsia="等线"/>
      <w:sz w:val="21"/>
    </w:rPr>
  </w:style>
  <w:style w:type="paragraph" w:customStyle="1" w:styleId="170">
    <w:name w:val="标题 91"/>
    <w:basedOn w:val="1"/>
    <w:next w:val="1"/>
    <w:unhideWhenUsed/>
    <w:qFormat/>
    <w:uiPriority w:val="9"/>
    <w:pPr>
      <w:keepNext/>
      <w:keepLines/>
      <w:spacing w:before="240" w:after="64" w:line="320" w:lineRule="auto"/>
      <w:textAlignment w:val="center"/>
      <w:outlineLvl w:val="8"/>
    </w:pPr>
    <w:rPr>
      <w:rFonts w:ascii="等线" w:hAnsi="等线" w:eastAsia="等线"/>
      <w:sz w:val="21"/>
      <w:szCs w:val="21"/>
    </w:rPr>
  </w:style>
  <w:style w:type="paragraph" w:customStyle="1" w:styleId="171">
    <w:name w:val="三級字"/>
    <w:basedOn w:val="1"/>
    <w:next w:val="1"/>
    <w:link w:val="172"/>
    <w:qFormat/>
    <w:uiPriority w:val="0"/>
    <w:pPr>
      <w:textAlignment w:val="center"/>
      <w:outlineLvl w:val="2"/>
    </w:pPr>
    <w:rPr>
      <w:rFonts w:cs="宋体"/>
      <w:color w:val="000000"/>
      <w:szCs w:val="24"/>
    </w:rPr>
  </w:style>
  <w:style w:type="character" w:customStyle="1" w:styleId="172">
    <w:name w:val="三級字 字符"/>
    <w:basedOn w:val="28"/>
    <w:link w:val="171"/>
    <w:uiPriority w:val="0"/>
    <w:rPr>
      <w:rFonts w:ascii="宋体" w:hAnsi="宋体" w:cs="宋体"/>
      <w:color w:val="000000"/>
      <w:kern w:val="2"/>
      <w:sz w:val="24"/>
      <w:szCs w:val="24"/>
    </w:rPr>
  </w:style>
  <w:style w:type="paragraph" w:customStyle="1" w:styleId="173">
    <w:name w:val="一級 青銅器編號"/>
    <w:basedOn w:val="1"/>
    <w:next w:val="1"/>
    <w:link w:val="174"/>
    <w:qFormat/>
    <w:uiPriority w:val="0"/>
    <w:pPr>
      <w:textAlignment w:val="center"/>
      <w:outlineLvl w:val="2"/>
    </w:pPr>
    <w:rPr>
      <w:rFonts w:cs="宋体"/>
      <w:b/>
      <w:color w:val="000000"/>
      <w:sz w:val="28"/>
      <w:szCs w:val="24"/>
    </w:rPr>
  </w:style>
  <w:style w:type="character" w:customStyle="1" w:styleId="174">
    <w:name w:val="一級 青銅器編號 字符"/>
    <w:basedOn w:val="28"/>
    <w:link w:val="173"/>
    <w:uiPriority w:val="0"/>
    <w:rPr>
      <w:rFonts w:ascii="宋体" w:hAnsi="宋体" w:cs="宋体"/>
      <w:b/>
      <w:color w:val="000000"/>
      <w:kern w:val="2"/>
      <w:sz w:val="28"/>
      <w:szCs w:val="24"/>
    </w:rPr>
  </w:style>
  <w:style w:type="paragraph" w:customStyle="1" w:styleId="175">
    <w:name w:val="金文 器物名 样式1"/>
    <w:basedOn w:val="1"/>
    <w:next w:val="1"/>
    <w:link w:val="176"/>
    <w:qFormat/>
    <w:uiPriority w:val="0"/>
    <w:pPr>
      <w:textAlignment w:val="center"/>
      <w:outlineLvl w:val="0"/>
    </w:pPr>
    <w:rPr>
      <w:rFonts w:cs="宋体"/>
      <w:b/>
      <w:color w:val="000000"/>
      <w:sz w:val="28"/>
      <w:szCs w:val="24"/>
    </w:rPr>
  </w:style>
  <w:style w:type="character" w:customStyle="1" w:styleId="176">
    <w:name w:val="金文 器物名 样式1 字符"/>
    <w:basedOn w:val="28"/>
    <w:link w:val="175"/>
    <w:uiPriority w:val="0"/>
    <w:rPr>
      <w:rFonts w:ascii="宋体" w:hAnsi="宋体" w:cs="宋体"/>
      <w:b/>
      <w:color w:val="000000"/>
      <w:kern w:val="2"/>
      <w:sz w:val="28"/>
      <w:szCs w:val="24"/>
    </w:rPr>
  </w:style>
  <w:style w:type="paragraph" w:customStyle="1" w:styleId="177">
    <w:name w:val="引用1"/>
    <w:basedOn w:val="1"/>
    <w:next w:val="1"/>
    <w:qFormat/>
    <w:uiPriority w:val="29"/>
    <w:pPr>
      <w:spacing w:line="288" w:lineRule="auto"/>
      <w:ind w:left="200" w:leftChars="200" w:right="200" w:rightChars="200" w:firstLine="200" w:firstLineChars="200"/>
      <w:contextualSpacing/>
      <w:jc w:val="left"/>
    </w:pPr>
    <w:rPr>
      <w:rFonts w:ascii="楷体" w:hAnsi="楷体" w:eastAsia="仿宋"/>
      <w:iCs/>
      <w:color w:val="000000"/>
      <w:szCs w:val="24"/>
    </w:rPr>
  </w:style>
  <w:style w:type="paragraph" w:customStyle="1" w:styleId="178">
    <w:name w:val="简文"/>
    <w:basedOn w:val="1"/>
    <w:qFormat/>
    <w:uiPriority w:val="0"/>
    <w:pPr>
      <w:tabs>
        <w:tab w:val="right" w:pos="9600"/>
      </w:tabs>
      <w:spacing w:line="288" w:lineRule="auto"/>
      <w:jc w:val="left"/>
    </w:pPr>
    <w:rPr>
      <w:rFonts w:ascii="楷体" w:hAnsi="楷体" w:eastAsia="楷体"/>
    </w:rPr>
  </w:style>
  <w:style w:type="paragraph" w:customStyle="1" w:styleId="179">
    <w:name w:val="简文引用"/>
    <w:basedOn w:val="178"/>
    <w:qFormat/>
    <w:uiPriority w:val="0"/>
    <w:pPr>
      <w:numPr>
        <w:ilvl w:val="0"/>
        <w:numId w:val="1"/>
      </w:numPr>
      <w:tabs>
        <w:tab w:val="left" w:pos="360"/>
        <w:tab w:val="left" w:pos="426"/>
        <w:tab w:val="right" w:pos="8160"/>
        <w:tab w:val="clear" w:pos="9600"/>
      </w:tabs>
      <w:spacing w:line="20" w:lineRule="atLeast"/>
      <w:ind w:left="0" w:firstLine="0"/>
      <w:contextualSpacing/>
    </w:pPr>
    <w:rPr>
      <w:szCs w:val="24"/>
      <w:lang w:eastAsia="zh-TW"/>
    </w:rPr>
  </w:style>
  <w:style w:type="paragraph" w:customStyle="1" w:styleId="180">
    <w:name w:val="简文表格引用"/>
    <w:basedOn w:val="178"/>
    <w:qFormat/>
    <w:uiPriority w:val="0"/>
    <w:pPr>
      <w:spacing w:line="0" w:lineRule="atLeast"/>
    </w:pPr>
    <w:rPr>
      <w:lang w:eastAsia="zh-TW"/>
    </w:rPr>
  </w:style>
  <w:style w:type="paragraph" w:customStyle="1" w:styleId="181">
    <w:name w:val="简文文本引用"/>
    <w:basedOn w:val="178"/>
    <w:qFormat/>
    <w:uiPriority w:val="0"/>
    <w:pPr>
      <w:tabs>
        <w:tab w:val="left" w:pos="1440"/>
        <w:tab w:val="right" w:pos="8160"/>
        <w:tab w:val="clear" w:pos="9600"/>
      </w:tabs>
      <w:spacing w:before="100" w:beforeLines="100" w:after="100" w:afterLines="100" w:line="300" w:lineRule="atLeast"/>
      <w:ind w:left="300" w:leftChars="300"/>
      <w:contextualSpacing/>
    </w:pPr>
    <w:rPr>
      <w:sz w:val="21"/>
      <w:szCs w:val="24"/>
    </w:rPr>
  </w:style>
  <w:style w:type="paragraph" w:customStyle="1" w:styleId="182">
    <w:name w:val="引用不首缩"/>
    <w:basedOn w:val="113"/>
    <w:qFormat/>
    <w:uiPriority w:val="0"/>
    <w:pPr>
      <w:spacing w:before="0" w:after="0" w:line="288" w:lineRule="auto"/>
      <w:ind w:left="0" w:right="0"/>
      <w:contextualSpacing/>
      <w:jc w:val="left"/>
    </w:pPr>
    <w:rPr>
      <w:rFonts w:ascii="楷体" w:hAnsi="楷体" w:eastAsia="仿宋"/>
      <w:i w:val="0"/>
      <w:color w:val="000000"/>
      <w:szCs w:val="24"/>
      <w14:textFill>
        <w14:solidFill>
          <w14:srgbClr w14:val="000000">
            <w14:lumMod w14:val="75000"/>
            <w14:lumOff w14:val="25000"/>
          </w14:srgbClr>
        </w14:solidFill>
      </w14:textFill>
    </w:rPr>
  </w:style>
  <w:style w:type="paragraph" w:customStyle="1" w:styleId="183">
    <w:name w:val="简文表格编号"/>
    <w:basedOn w:val="182"/>
    <w:qFormat/>
    <w:uiPriority w:val="0"/>
    <w:pPr>
      <w:numPr>
        <w:ilvl w:val="0"/>
        <w:numId w:val="2"/>
      </w:numPr>
      <w:tabs>
        <w:tab w:val="left" w:pos="360"/>
        <w:tab w:val="left" w:pos="552"/>
        <w:tab w:val="right" w:pos="9840"/>
      </w:tabs>
      <w:ind w:left="0" w:firstLine="0"/>
    </w:pPr>
  </w:style>
  <w:style w:type="character" w:customStyle="1" w:styleId="184">
    <w:name w:val="标题 4 字符"/>
    <w:basedOn w:val="28"/>
    <w:link w:val="5"/>
    <w:qFormat/>
    <w:uiPriority w:val="9"/>
    <w:rPr>
      <w:rFonts w:hAnsi="等线 Light" w:cs="Times New Roman"/>
      <w:b/>
      <w:bCs/>
      <w:sz w:val="28"/>
      <w:szCs w:val="28"/>
    </w:rPr>
  </w:style>
  <w:style w:type="character" w:customStyle="1" w:styleId="185">
    <w:name w:val="标题 6 字符"/>
    <w:basedOn w:val="28"/>
    <w:link w:val="7"/>
    <w:qFormat/>
    <w:uiPriority w:val="9"/>
    <w:rPr>
      <w:rFonts w:cs="Times New Roman"/>
      <w:b/>
      <w:bCs/>
    </w:rPr>
  </w:style>
  <w:style w:type="character" w:customStyle="1" w:styleId="186">
    <w:name w:val="标题 8 字符"/>
    <w:basedOn w:val="28"/>
    <w:link w:val="9"/>
    <w:qFormat/>
    <w:uiPriority w:val="9"/>
    <w:rPr>
      <w:rFonts w:cs="Times New Roman"/>
    </w:rPr>
  </w:style>
  <w:style w:type="character" w:customStyle="1" w:styleId="187">
    <w:name w:val="标题 9 字符"/>
    <w:basedOn w:val="28"/>
    <w:link w:val="10"/>
    <w:qFormat/>
    <w:uiPriority w:val="9"/>
    <w:rPr>
      <w:rFonts w:cs="Times New Roman"/>
      <w:szCs w:val="21"/>
    </w:rPr>
  </w:style>
  <w:style w:type="paragraph" w:customStyle="1" w:styleId="188">
    <w:name w:val="简文表格"/>
    <w:basedOn w:val="178"/>
    <w:qFormat/>
    <w:uiPriority w:val="0"/>
  </w:style>
  <w:style w:type="paragraph" w:customStyle="1" w:styleId="189">
    <w:name w:val="简文引用编号"/>
    <w:basedOn w:val="182"/>
    <w:qFormat/>
    <w:uiPriority w:val="0"/>
  </w:style>
  <w:style w:type="paragraph" w:customStyle="1" w:styleId="190">
    <w:name w:val="简文编号引用"/>
    <w:basedOn w:val="182"/>
    <w:qFormat/>
    <w:uiPriority w:val="0"/>
    <w:pPr>
      <w:numPr>
        <w:ilvl w:val="0"/>
        <w:numId w:val="3"/>
      </w:numPr>
      <w:ind w:left="0" w:firstLine="0"/>
    </w:pPr>
  </w:style>
  <w:style w:type="character" w:customStyle="1" w:styleId="191">
    <w:name w:val="标题 字符1"/>
    <w:qFormat/>
    <w:uiPriority w:val="0"/>
    <w:rPr>
      <w:rFonts w:ascii="Cambria" w:hAnsi="Cambria" w:eastAsia="宋体" w:cs="Times New Roman"/>
      <w:b/>
      <w:bCs/>
      <w:sz w:val="44"/>
      <w:szCs w:val="32"/>
    </w:rPr>
  </w:style>
  <w:style w:type="character" w:customStyle="1" w:styleId="192">
    <w:name w:val="标题 2 Char"/>
    <w:qFormat/>
    <w:uiPriority w:val="0"/>
    <w:rPr>
      <w:rFonts w:ascii="Cambria" w:hAnsi="Cambria"/>
      <w:b/>
      <w:bCs/>
      <w:kern w:val="2"/>
      <w:sz w:val="32"/>
      <w:szCs w:val="32"/>
    </w:rPr>
  </w:style>
  <w:style w:type="paragraph" w:customStyle="1" w:styleId="193">
    <w:name w:val="尚书原文"/>
    <w:basedOn w:val="1"/>
    <w:qFormat/>
    <w:uiPriority w:val="0"/>
    <w:pPr>
      <w:spacing w:before="50" w:beforeLines="50" w:after="50" w:afterLines="50" w:line="288" w:lineRule="auto"/>
      <w:ind w:left="200" w:leftChars="200" w:firstLine="200" w:firstLineChars="200"/>
      <w:jc w:val="left"/>
    </w:pPr>
    <w:rPr>
      <w:rFonts w:eastAsia="楷体"/>
      <w:b/>
      <w:sz w:val="28"/>
    </w:rPr>
  </w:style>
  <w:style w:type="paragraph" w:customStyle="1" w:styleId="194">
    <w:name w:val="尚书文句"/>
    <w:basedOn w:val="1"/>
    <w:qFormat/>
    <w:uiPriority w:val="0"/>
    <w:pPr>
      <w:spacing w:before="20" w:beforeLines="20" w:after="20" w:afterLines="20" w:line="288" w:lineRule="auto"/>
      <w:jc w:val="left"/>
    </w:pPr>
    <w:rPr>
      <w:rFonts w:eastAsia="楷体"/>
      <w:b/>
      <w:sz w:val="28"/>
    </w:rPr>
  </w:style>
  <w:style w:type="character" w:customStyle="1" w:styleId="195">
    <w:name w:val="页眉 字符1"/>
    <w:basedOn w:val="28"/>
    <w:qFormat/>
    <w:uiPriority w:val="0"/>
    <w:rPr>
      <w:rFonts w:ascii="宋体" w:hAnsi="宋体" w:cs="Times New Roman"/>
      <w:sz w:val="18"/>
      <w:szCs w:val="18"/>
    </w:rPr>
  </w:style>
  <w:style w:type="character" w:customStyle="1" w:styleId="196">
    <w:name w:val="页脚 字符1"/>
    <w:basedOn w:val="28"/>
    <w:qFormat/>
    <w:uiPriority w:val="0"/>
    <w:rPr>
      <w:rFonts w:ascii="宋体" w:hAnsi="宋体" w:cs="Times New Roman"/>
      <w:sz w:val="18"/>
      <w:szCs w:val="18"/>
    </w:rPr>
  </w:style>
  <w:style w:type="character" w:customStyle="1" w:styleId="197">
    <w:name w:val="tline"/>
    <w:basedOn w:val="28"/>
    <w:qFormat/>
    <w:uiPriority w:val="0"/>
  </w:style>
  <w:style w:type="character" w:customStyle="1" w:styleId="198">
    <w:name w:val="引用 字符1"/>
    <w:basedOn w:val="28"/>
    <w:uiPriority w:val="29"/>
    <w:rPr>
      <w:rFonts w:ascii="宋体" w:hAnsi="宋体" w:eastAsia="宋体" w:cs="宋体"/>
      <w:i/>
      <w:iCs/>
      <w:color w:val="404040"/>
      <w:sz w:val="24"/>
      <w:szCs w:val="24"/>
    </w:rPr>
  </w:style>
  <w:style w:type="character" w:customStyle="1" w:styleId="199">
    <w:name w:val="标题 2 字符1"/>
    <w:basedOn w:val="28"/>
    <w:semiHidden/>
    <w:uiPriority w:val="9"/>
    <w:rPr>
      <w:rFonts w:ascii="等线 Light" w:hAnsi="等线 Light" w:eastAsia="等线 Light" w:cs="Times New Roman"/>
      <w:b/>
      <w:bCs/>
      <w:color w:val="000000"/>
      <w:sz w:val="32"/>
      <w:szCs w:val="32"/>
    </w:rPr>
  </w:style>
  <w:style w:type="character" w:customStyle="1" w:styleId="200">
    <w:name w:val="标题 4 字符1"/>
    <w:basedOn w:val="28"/>
    <w:semiHidden/>
    <w:uiPriority w:val="9"/>
    <w:rPr>
      <w:rFonts w:ascii="等线 Light" w:hAnsi="等线 Light" w:eastAsia="等线 Light" w:cs="Times New Roman"/>
      <w:b/>
      <w:bCs/>
      <w:color w:val="000000"/>
      <w:sz w:val="28"/>
      <w:szCs w:val="28"/>
    </w:rPr>
  </w:style>
  <w:style w:type="character" w:customStyle="1" w:styleId="201">
    <w:name w:val="标题 6 字符1"/>
    <w:basedOn w:val="28"/>
    <w:semiHidden/>
    <w:uiPriority w:val="9"/>
    <w:rPr>
      <w:rFonts w:ascii="等线 Light" w:hAnsi="等线 Light" w:eastAsia="等线 Light" w:cs="Times New Roman"/>
      <w:b/>
      <w:bCs/>
      <w:color w:val="000000"/>
      <w:sz w:val="24"/>
      <w:szCs w:val="24"/>
    </w:rPr>
  </w:style>
  <w:style w:type="character" w:customStyle="1" w:styleId="202">
    <w:name w:val="标题 8 字符1"/>
    <w:basedOn w:val="28"/>
    <w:semiHidden/>
    <w:uiPriority w:val="9"/>
    <w:rPr>
      <w:rFonts w:ascii="等线 Light" w:hAnsi="等线 Light" w:eastAsia="等线 Light" w:cs="Times New Roman"/>
      <w:color w:val="000000"/>
      <w:sz w:val="24"/>
      <w:szCs w:val="24"/>
    </w:rPr>
  </w:style>
  <w:style w:type="character" w:customStyle="1" w:styleId="203">
    <w:name w:val="标题 9 字符1"/>
    <w:basedOn w:val="28"/>
    <w:semiHidden/>
    <w:uiPriority w:val="9"/>
    <w:rPr>
      <w:rFonts w:ascii="等线 Light" w:hAnsi="等线 Light" w:eastAsia="等线 Light" w:cs="Times New Roman"/>
      <w:color w:val="000000"/>
      <w:szCs w:val="21"/>
    </w:rPr>
  </w:style>
  <w:style w:type="character" w:customStyle="1" w:styleId="204">
    <w:name w:val="无间隔 字符"/>
    <w:basedOn w:val="28"/>
    <w:link w:val="59"/>
    <w:uiPriority w:val="1"/>
    <w:rPr>
      <w:rFonts w:ascii="宋体" w:hAnsi="宋体"/>
      <w:kern w:val="2"/>
      <w:sz w:val="24"/>
      <w:szCs w:val="22"/>
    </w:rPr>
  </w:style>
  <w:style w:type="paragraph" w:customStyle="1" w:styleId="205">
    <w:name w:val="TOC 标题1"/>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206">
    <w:name w:val="TOC 21"/>
    <w:basedOn w:val="1"/>
    <w:next w:val="1"/>
    <w:autoRedefine/>
    <w:unhideWhenUsed/>
    <w:uiPriority w:val="39"/>
    <w:pPr>
      <w:widowControl/>
      <w:spacing w:after="100" w:line="259" w:lineRule="auto"/>
      <w:ind w:left="220"/>
      <w:jc w:val="left"/>
    </w:pPr>
    <w:rPr>
      <w:rFonts w:ascii="等线" w:hAnsi="等线" w:eastAsia="等线"/>
      <w:kern w:val="0"/>
      <w:sz w:val="22"/>
    </w:rPr>
  </w:style>
  <w:style w:type="paragraph" w:customStyle="1" w:styleId="207">
    <w:name w:val="TOC 11"/>
    <w:basedOn w:val="1"/>
    <w:next w:val="1"/>
    <w:autoRedefine/>
    <w:unhideWhenUsed/>
    <w:uiPriority w:val="39"/>
    <w:pPr>
      <w:widowControl/>
      <w:tabs>
        <w:tab w:val="right" w:leader="dot" w:pos="8296"/>
      </w:tabs>
      <w:spacing w:after="100" w:line="259" w:lineRule="auto"/>
      <w:jc w:val="left"/>
    </w:pPr>
    <w:rPr>
      <w:rFonts w:ascii="等线" w:hAnsi="等线" w:eastAsia="等线"/>
      <w:b/>
      <w:bCs/>
      <w:kern w:val="0"/>
      <w:sz w:val="22"/>
      <w:lang w:eastAsia="zh-TW"/>
    </w:rPr>
  </w:style>
  <w:style w:type="paragraph" w:customStyle="1" w:styleId="208">
    <w:name w:val="TOC 31"/>
    <w:basedOn w:val="1"/>
    <w:next w:val="1"/>
    <w:autoRedefine/>
    <w:unhideWhenUsed/>
    <w:uiPriority w:val="39"/>
    <w:pPr>
      <w:widowControl/>
      <w:spacing w:after="100" w:line="259" w:lineRule="auto"/>
      <w:ind w:left="440"/>
      <w:jc w:val="left"/>
    </w:pPr>
    <w:rPr>
      <w:rFonts w:ascii="等线" w:hAnsi="等线" w:eastAsia="等线"/>
      <w:kern w:val="0"/>
      <w:sz w:val="22"/>
    </w:rPr>
  </w:style>
  <w:style w:type="character" w:customStyle="1" w:styleId="209">
    <w:name w:val="标题 4 字符2"/>
    <w:basedOn w:val="28"/>
    <w:semiHidden/>
    <w:uiPriority w:val="9"/>
    <w:rPr>
      <w:rFonts w:asciiTheme="majorHAnsi" w:hAnsiTheme="majorHAnsi" w:eastAsiaTheme="majorEastAsia" w:cstheme="majorBidi"/>
      <w:b/>
      <w:bCs/>
      <w:kern w:val="2"/>
      <w:sz w:val="28"/>
      <w:szCs w:val="28"/>
    </w:rPr>
  </w:style>
  <w:style w:type="character" w:customStyle="1" w:styleId="210">
    <w:name w:val="标题 6 字符2"/>
    <w:basedOn w:val="28"/>
    <w:semiHidden/>
    <w:uiPriority w:val="9"/>
    <w:rPr>
      <w:rFonts w:asciiTheme="majorHAnsi" w:hAnsiTheme="majorHAnsi" w:eastAsiaTheme="majorEastAsia" w:cstheme="majorBidi"/>
      <w:b/>
      <w:bCs/>
      <w:kern w:val="2"/>
      <w:sz w:val="24"/>
      <w:szCs w:val="24"/>
    </w:rPr>
  </w:style>
  <w:style w:type="character" w:customStyle="1" w:styleId="211">
    <w:name w:val="标题 8 字符2"/>
    <w:basedOn w:val="28"/>
    <w:semiHidden/>
    <w:uiPriority w:val="9"/>
    <w:rPr>
      <w:rFonts w:asciiTheme="majorHAnsi" w:hAnsiTheme="majorHAnsi" w:eastAsiaTheme="majorEastAsia" w:cstheme="majorBidi"/>
      <w:kern w:val="2"/>
      <w:sz w:val="24"/>
      <w:szCs w:val="24"/>
    </w:rPr>
  </w:style>
  <w:style w:type="character" w:customStyle="1" w:styleId="212">
    <w:name w:val="标题 9 字符2"/>
    <w:basedOn w:val="28"/>
    <w:semiHidden/>
    <w:uiPriority w:val="9"/>
    <w:rPr>
      <w:rFonts w:asciiTheme="majorHAnsi" w:hAnsiTheme="majorHAnsi" w:eastAsiaTheme="majorEastAsia" w:cstheme="majorBidi"/>
      <w:kern w:val="2"/>
      <w:sz w:val="21"/>
      <w:szCs w:val="21"/>
    </w:rPr>
  </w:style>
  <w:style w:type="character" w:customStyle="1" w:styleId="213">
    <w:name w:val="明显引用 字符"/>
    <w:basedOn w:val="28"/>
    <w:uiPriority w:val="0"/>
    <w:rPr>
      <w:i/>
      <w:iCs/>
      <w:color w:val="0F4761"/>
    </w:rPr>
  </w:style>
  <w:style w:type="character" w:customStyle="1" w:styleId="214">
    <w:name w:val="msointensereference"/>
    <w:basedOn w:val="28"/>
    <w:uiPriority w:val="0"/>
    <w:rPr>
      <w:b/>
      <w:bCs/>
      <w:smallCaps/>
      <w:color w:val="0F4761"/>
      <w:spacing w:val="5"/>
    </w:rPr>
  </w:style>
  <w:style w:type="character" w:customStyle="1" w:styleId="215">
    <w:name w:val="msointenseemphasis"/>
    <w:basedOn w:val="28"/>
    <w:uiPriority w:val="0"/>
    <w:rPr>
      <w:i/>
      <w:iCs/>
      <w:color w:val="0F4761"/>
    </w:rPr>
  </w:style>
</w:styles>
</file>

<file path=word/_rels/document.xml.rels><?xml version="1.0" encoding="UTF-8" standalone="yes"?>
<Relationships xmlns="http://schemas.openxmlformats.org/package/2006/relationships"><Relationship Id="rId9" Type="http://schemas.openxmlformats.org/officeDocument/2006/relationships/image" Target="media/image7.png"/><Relationship Id="rId8" Type="http://schemas.openxmlformats.org/officeDocument/2006/relationships/image" Target="media/image6.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8.png"/><Relationship Id="rId1" Type="http://schemas.openxmlformats.org/officeDocument/2006/relationships/styles" Target="styles.xml"/></Relationships>
</file>

<file path=word/_rels/footnotes.xml.rels><?xml version="1.0" encoding="UTF-8" standalone="yes"?>
<Relationships xmlns="http://schemas.openxmlformats.org/package/2006/relationships"><Relationship Id="rId5" Type="http://schemas.openxmlformats.org/officeDocument/2006/relationships/image" Target="media/image5.jpeg"/><Relationship Id="rId4" Type="http://schemas.openxmlformats.org/officeDocument/2006/relationships/image" Target="media/image4.jpeg"/><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F04FF-4A17-49D5-BA67-F5127981893D}">
  <ds:schemaRefs/>
</ds:datastoreItem>
</file>

<file path=docProps/app.xml><?xml version="1.0" encoding="utf-8"?>
<Properties xmlns="http://schemas.openxmlformats.org/officeDocument/2006/extended-properties" xmlns:vt="http://schemas.openxmlformats.org/officeDocument/2006/docPropsVTypes">
  <Template>Normal.dotm</Template>
  <Company>GWZ</Company>
  <Pages>30</Pages>
  <Words>10171</Words>
  <Characters>10228</Characters>
  <Lines>341</Lines>
  <Paragraphs>547</Paragraphs>
  <TotalTime>7</TotalTime>
  <ScaleCrop>false</ScaleCrop>
  <LinksUpToDate>false</LinksUpToDate>
  <CharactersWithSpaces>10229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2024-04-21T09:04:00Z</dcterms:created>
  <dc:creator>gwz</dc:creator>
  <cp:lastModifiedBy>林琪竣</cp:lastModifiedBy>
  <dcterms:modified xsi:type="dcterms:W3CDTF">2024-05-29T01:50:09Z</dcterms:modified>
  <dc:subject>復旦大學出土文獻與古文字研究中心</dc:subject>
  <dc:title>復旦大學出土文獻與古文字研究中心</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C2B08812EE314F589E267A3827BACCE8</vt:lpwstr>
  </property>
</Properties>
</file>