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D97C1" w14:textId="77777777" w:rsidR="004726FD" w:rsidRPr="004726FD" w:rsidRDefault="004726FD" w:rsidP="004726FD">
      <w:pPr>
        <w:pStyle w:val="aff7"/>
      </w:pPr>
      <w:r w:rsidRPr="004726FD">
        <w:rPr>
          <w:rFonts w:hint="eastAsia"/>
        </w:rPr>
        <w:t>观龙渊之五色，视泰阿之清明：汉简《相剑刀》新论</w:t>
      </w:r>
    </w:p>
    <w:p w14:paraId="7113865A" w14:textId="77777777" w:rsidR="004726FD" w:rsidRPr="004726FD" w:rsidRDefault="004726FD" w:rsidP="004726FD">
      <w:pPr>
        <w:pStyle w:val="aff8"/>
      </w:pPr>
      <w:r w:rsidRPr="004726FD">
        <w:rPr>
          <w:rFonts w:hint="eastAsia"/>
        </w:rPr>
        <w:t>刘钊  康博文</w:t>
      </w:r>
    </w:p>
    <w:p w14:paraId="1516103A" w14:textId="77777777" w:rsidR="004726FD" w:rsidRPr="004726FD" w:rsidRDefault="004726FD" w:rsidP="004726FD">
      <w:pPr>
        <w:pStyle w:val="aff6"/>
        <w:ind w:firstLine="562"/>
        <w:rPr>
          <w:rFonts w:cs="Arial"/>
        </w:rPr>
      </w:pPr>
      <w:r w:rsidRPr="004726FD">
        <w:rPr>
          <w:rFonts w:hint="eastAsia"/>
          <w:b/>
        </w:rPr>
        <w:t>摘要</w:t>
      </w:r>
      <w:r w:rsidRPr="004726FD">
        <w:rPr>
          <w:rFonts w:hint="eastAsia"/>
        </w:rPr>
        <w:t>：汉简《相剑刀》可能并不表明汉代的刀剑情况，应该是延续春秋战国时期吴越之地相剑传统的一些观念和说法的相剑书，也可能是相关思想和知识层累形成的形法书。简文中相关字词的解读，可结合吴越地区的青铜铸剑术及实物重新加以审视。如“白坚”“黑坚”“逢”，很可能是就复合剑而言的，“白坚”指复合剑的剑刃，“黑坚”则是指剑脊，“逢”读为“缝”，指两部分相接处；“生如黍粟状”谓氧化蚀坑，具有抗腐作用；“有文”而不“在坚中”，反映的是金属膏剂涂层或鎏金等剑表纹饰工艺；“之日中，骍”是说铸剑的含铜量过高；“县薄文”可能指菱形暗格纹。此外简文的“报”应读为“复”、“遂”当用为“逐”、“合”应训为“对”，“敝合人”即剑之敝会和人相应,妨害带剑人的意思。未识字可释作“谯”，是说剑的外观看上去枯薧、憔悴等。</w:t>
      </w:r>
    </w:p>
    <w:p w14:paraId="0A793958" w14:textId="77777777" w:rsidR="004726FD" w:rsidRPr="004726FD" w:rsidRDefault="004726FD" w:rsidP="004726FD">
      <w:pPr>
        <w:pStyle w:val="aff6"/>
        <w:ind w:firstLine="562"/>
      </w:pPr>
      <w:r w:rsidRPr="004726FD">
        <w:rPr>
          <w:rFonts w:hint="eastAsia"/>
          <w:b/>
        </w:rPr>
        <w:t>关键词：</w:t>
      </w:r>
      <w:r w:rsidRPr="004726FD">
        <w:rPr>
          <w:rFonts w:hint="eastAsia"/>
        </w:rPr>
        <w:t>汉简《相剑刀》册；吴越；青铜铸剑术；复合剑；形法</w:t>
      </w:r>
    </w:p>
    <w:p w14:paraId="6799A841" w14:textId="77777777" w:rsidR="004726FD" w:rsidRPr="004726FD" w:rsidRDefault="004726FD" w:rsidP="004726FD">
      <w:pPr>
        <w:pStyle w:val="aff6"/>
        <w:ind w:firstLine="562"/>
        <w:rPr>
          <w:b/>
        </w:rPr>
      </w:pPr>
      <w:r w:rsidRPr="004726FD">
        <w:rPr>
          <w:rFonts w:hint="eastAsia"/>
          <w:b/>
        </w:rPr>
        <w:t>基金项目：</w:t>
      </w:r>
      <w:r w:rsidRPr="004726FD">
        <w:rPr>
          <w:rFonts w:cs="Arial" w:hint="eastAsia"/>
        </w:rPr>
        <w:t>国家社科基金冷门绝学研究专项学术团队项目“中国出土典籍的分类整理与综合研究”（批准号：20VJXT018）</w:t>
      </w:r>
    </w:p>
    <w:p w14:paraId="0CD8A3CD" w14:textId="77777777" w:rsidR="004726FD" w:rsidRPr="004726FD" w:rsidRDefault="004726FD" w:rsidP="004726FD">
      <w:pPr>
        <w:pStyle w:val="aff6"/>
        <w:ind w:firstLine="562"/>
        <w:rPr>
          <w:rFonts w:cs="Arial"/>
        </w:rPr>
      </w:pPr>
      <w:r w:rsidRPr="004726FD">
        <w:rPr>
          <w:rFonts w:hint="eastAsia"/>
          <w:b/>
        </w:rPr>
        <w:t>作者简介：</w:t>
      </w:r>
      <w:r w:rsidRPr="004726FD">
        <w:rPr>
          <w:rFonts w:cs="Arial" w:hint="eastAsia"/>
        </w:rPr>
        <w:t>刘钊，复旦大学出土文献与古文字研究中心、“古文</w:t>
      </w:r>
      <w:r w:rsidRPr="004726FD">
        <w:rPr>
          <w:rFonts w:cs="Arial" w:hint="eastAsia"/>
        </w:rPr>
        <w:lastRenderedPageBreak/>
        <w:t>字与中华文明传承发展工程”协同攻关创新平台（上海  200433）</w:t>
      </w:r>
    </w:p>
    <w:p w14:paraId="6E10AF4F" w14:textId="77777777" w:rsidR="004726FD" w:rsidRPr="004726FD" w:rsidRDefault="004726FD" w:rsidP="004726FD">
      <w:pPr>
        <w:pStyle w:val="aff6"/>
        <w:ind w:firstLine="560"/>
        <w:rPr>
          <w:rFonts w:cs="Arial"/>
        </w:rPr>
      </w:pPr>
      <w:r w:rsidRPr="004726FD">
        <w:rPr>
          <w:rFonts w:cs="Arial" w:hint="eastAsia"/>
        </w:rPr>
        <w:t>康博文，复旦大学出土文献与古文字研究中心、“古文字与中华文明传承发展工程”协同攻关创新平台（上海  200433）</w:t>
      </w:r>
    </w:p>
    <w:p w14:paraId="1122609D" w14:textId="77777777" w:rsidR="004726FD" w:rsidRPr="004726FD" w:rsidRDefault="004726FD" w:rsidP="004726FD">
      <w:pPr>
        <w:spacing w:line="360" w:lineRule="auto"/>
        <w:ind w:firstLineChars="200" w:firstLine="480"/>
        <w:rPr>
          <w:rFonts w:eastAsia="PMingLiU" w:cs="Arial"/>
        </w:rPr>
      </w:pPr>
    </w:p>
    <w:p w14:paraId="6EE124B3" w14:textId="77777777" w:rsidR="004726FD" w:rsidRPr="004726FD" w:rsidRDefault="004726FD" w:rsidP="004726FD">
      <w:pPr>
        <w:pStyle w:val="aff6"/>
        <w:ind w:firstLine="560"/>
        <w:rPr>
          <w:rFonts w:eastAsia="PMingLiU"/>
        </w:rPr>
      </w:pPr>
      <w:r w:rsidRPr="004726FD">
        <w:rPr>
          <w:rFonts w:hint="eastAsia"/>
        </w:rPr>
        <w:t>距1974年居延新简《相剑刀》册的出土已经过去近半个世纪，这期间学术界涌现出了许多研究论著，对简册的理解给予了很大程度的推动。不过这其中仍然有一些疑窦有待阐明，或有一些正确的观点未得到应有的重视。本文不揣谫陋，拟对本简册予以补论。</w:t>
      </w:r>
    </w:p>
    <w:p w14:paraId="4E49D3AC" w14:textId="101C68B3" w:rsidR="0044246D" w:rsidRPr="004726FD" w:rsidRDefault="004726FD" w:rsidP="004726FD">
      <w:pPr>
        <w:pStyle w:val="aff6"/>
        <w:ind w:firstLine="560"/>
      </w:pPr>
      <w:r w:rsidRPr="004726FD">
        <w:rPr>
          <w:rFonts w:hint="eastAsia"/>
        </w:rPr>
        <w:t>目前有关《相剑刀》册的研究成果共有二十余篇。简文内容于1982年公布在《敦煌学辑刊》上，同期有马明达的《居延汉简〈相剑刀〉册初探》，</w:t>
      </w:r>
      <w:r w:rsidR="0044246D" w:rsidRPr="004726FD">
        <w:rPr>
          <w:vertAlign w:val="superscript"/>
        </w:rPr>
        <w:endnoteReference w:id="1"/>
      </w:r>
      <w:r w:rsidR="0044246D" w:rsidRPr="004726FD">
        <w:rPr>
          <w:rFonts w:hint="eastAsia"/>
        </w:rPr>
        <w:t>是最早进行全面研究的文章。此后李零、钟少异、沈云韬、马明达、陈力、刘金华、何茂活、苏辉等先生均在论文或专著中对简册的字词、完阙、性质等问题发表了看法。</w:t>
      </w:r>
      <w:r w:rsidR="0044246D" w:rsidRPr="004726FD">
        <w:rPr>
          <w:vertAlign w:val="superscript"/>
          <w:lang w:eastAsia="zh-TW"/>
        </w:rPr>
        <w:endnoteReference w:id="2"/>
      </w:r>
      <w:r w:rsidR="0044246D" w:rsidRPr="004726FD">
        <w:rPr>
          <w:rFonts w:hint="eastAsia"/>
        </w:rPr>
        <w:t>另外居延新简、简牍集成一系的整理著作也都包含此册，尤以《居延新简释粹》</w:t>
      </w:r>
      <w:r w:rsidR="0044246D" w:rsidRPr="004726FD">
        <w:rPr>
          <w:rFonts w:hint="eastAsia"/>
          <w:lang w:val="zh-CN"/>
        </w:rPr>
        <w:t>《中国简牍集成</w:t>
      </w:r>
      <w:r w:rsidR="0044246D" w:rsidRPr="004726FD">
        <w:rPr>
          <w:rFonts w:hint="eastAsia"/>
        </w:rPr>
        <w:t>〔标注本〕</w:t>
      </w:r>
      <w:r w:rsidR="0044246D" w:rsidRPr="004726FD">
        <w:rPr>
          <w:rFonts w:hint="eastAsia"/>
          <w:lang w:val="zh-CN"/>
        </w:rPr>
        <w:t>》</w:t>
      </w:r>
      <w:r w:rsidR="0044246D" w:rsidRPr="004726FD">
        <w:rPr>
          <w:rFonts w:hint="eastAsia"/>
        </w:rPr>
        <w:t>《居延新简集释》等附有注释者值得关注。韩华、狄晓霞的《居延汉简〈相宝剑刀〉册研究综述》一文，对2009年以前的成果从简册的考释、定名、冶炼技术三方面进行了总结。</w:t>
      </w:r>
      <w:r w:rsidR="0044246D" w:rsidRPr="004726FD">
        <w:rPr>
          <w:vertAlign w:val="superscript"/>
        </w:rPr>
        <w:endnoteReference w:id="3"/>
      </w:r>
      <w:r w:rsidR="0044246D" w:rsidRPr="004726FD">
        <w:rPr>
          <w:rFonts w:hint="eastAsia"/>
        </w:rPr>
        <w:t>《相剑刀》册的图版，据笔者所见至少刊布于七处。最早于</w:t>
      </w:r>
      <w:r w:rsidR="0044246D" w:rsidRPr="004726FD">
        <w:rPr>
          <w:rFonts w:hint="eastAsia"/>
          <w:lang w:val="zh-CN"/>
        </w:rPr>
        <w:t>《居延新简释粹》</w:t>
      </w:r>
      <w:r w:rsidR="0044246D" w:rsidRPr="004726FD">
        <w:rPr>
          <w:rFonts w:hint="eastAsia"/>
        </w:rPr>
        <w:t>书</w:t>
      </w:r>
      <w:r w:rsidR="0044246D" w:rsidRPr="004726FD">
        <w:rPr>
          <w:rFonts w:hint="eastAsia"/>
        </w:rPr>
        <w:lastRenderedPageBreak/>
        <w:t>前附有黑白照片，《简牍名迹选》《中国书法》《简牍学研究》《中国碑帖名品》《少儿国学》则系彩照，《居延新简集释》第二册更公布有彩色与红外线两种图版。</w:t>
      </w:r>
      <w:r w:rsidR="0044246D" w:rsidRPr="004726FD">
        <w:rPr>
          <w:vertAlign w:val="superscript"/>
          <w:lang w:eastAsia="zh-TW"/>
        </w:rPr>
        <w:endnoteReference w:id="4"/>
      </w:r>
      <w:r w:rsidR="0044246D" w:rsidRPr="004726FD">
        <w:rPr>
          <w:rFonts w:hint="eastAsia"/>
        </w:rPr>
        <w:t>其中以《中国碑帖名品》最为清晰，本文讨论字形时即以此为基础，书中附有胡平生、刘绍刚两位先生的注释，亦可供参考。</w:t>
      </w:r>
    </w:p>
    <w:p w14:paraId="014A5603" w14:textId="77777777" w:rsidR="0044246D" w:rsidRPr="004726FD" w:rsidRDefault="0044246D" w:rsidP="004726FD">
      <w:pPr>
        <w:pStyle w:val="aff6"/>
        <w:ind w:firstLine="560"/>
        <w:rPr>
          <w:rFonts w:eastAsia="PMingLiU"/>
        </w:rPr>
      </w:pPr>
      <w:r w:rsidRPr="004726FD">
        <w:rPr>
          <w:rFonts w:hint="eastAsia"/>
        </w:rPr>
        <w:t>以下分三段对汉简《相剑刀》册加以训解和阐释。</w:t>
      </w:r>
    </w:p>
    <w:p w14:paraId="1BD2737B" w14:textId="77777777" w:rsidR="0044246D" w:rsidRPr="004726FD" w:rsidRDefault="0044246D" w:rsidP="004726FD">
      <w:pPr>
        <w:pStyle w:val="aff6"/>
        <w:ind w:firstLine="562"/>
        <w:rPr>
          <w:b/>
          <w:bCs/>
        </w:rPr>
      </w:pPr>
      <w:r w:rsidRPr="004726FD">
        <w:rPr>
          <w:rFonts w:hint="eastAsia"/>
          <w:b/>
          <w:bCs/>
        </w:rPr>
        <w:t>一、相利善剑</w:t>
      </w:r>
    </w:p>
    <w:p w14:paraId="73A4E69C" w14:textId="77777777" w:rsidR="0044246D" w:rsidRPr="004726FD" w:rsidRDefault="0044246D" w:rsidP="004726FD">
      <w:pPr>
        <w:pStyle w:val="aff4"/>
        <w:spacing w:before="540" w:after="540"/>
        <w:ind w:firstLine="496"/>
      </w:pPr>
      <w:r w:rsidRPr="004726FD">
        <w:rPr>
          <w:rFonts w:hint="eastAsia"/>
        </w:rPr>
        <w:t>欲知剑利善、故器者，起拔之，视之身中无推处者，故器也。视欲知利善者，必视之身中有黑两桁不绝者，（EPT40：202）其逢如不见，视白坚未至逢三分所而绝，此天下利善剑也。又视之身中生如黍粟状，利剑也，加以善。（EPT40：203）</w:t>
      </w:r>
    </w:p>
    <w:p w14:paraId="182FEB78" w14:textId="77777777" w:rsidR="0044246D" w:rsidRPr="004726FD" w:rsidRDefault="0044246D" w:rsidP="004726FD">
      <w:pPr>
        <w:pStyle w:val="aff6"/>
        <w:ind w:firstLine="560"/>
      </w:pPr>
      <w:r w:rsidRPr="004726FD">
        <w:rPr>
          <w:rFonts w:hint="eastAsia"/>
        </w:rPr>
        <w:t>《相剑刀》册在评价刀剑时使用了一组基本概念，首先需要厘清。</w:t>
      </w:r>
    </w:p>
    <w:p w14:paraId="01690EF9" w14:textId="77777777" w:rsidR="0044246D" w:rsidRPr="004726FD" w:rsidRDefault="0044246D" w:rsidP="004726FD">
      <w:pPr>
        <w:pStyle w:val="aff6"/>
        <w:ind w:firstLine="560"/>
        <w:rPr>
          <w:rFonts w:eastAsia="PMingLiU"/>
        </w:rPr>
      </w:pPr>
      <w:r w:rsidRPr="004726FD">
        <w:rPr>
          <w:rFonts w:hint="eastAsia"/>
        </w:rPr>
        <w:t>“利善”。《汉“相剑刀册”略说》提出，由于简文先说“视欲知利善者”，后以“善剑四事”</w:t>
      </w:r>
      <w:r w:rsidRPr="004726FD">
        <w:rPr>
          <w:rFonts w:hint="eastAsia"/>
          <w:lang w:val="zh-CN"/>
        </w:rPr>
        <w:t>小结，“可知在本册文书中，‘利善剑’与‘善剑’是同一概念，并无区别，‘利善剑’即‘善剑’。”不过简文还有“利剑也，加以善”的说法，就决定了二者绝不能是同样的意思。陈力认为</w:t>
      </w:r>
      <w:r w:rsidRPr="004726FD">
        <w:rPr>
          <w:rFonts w:hint="eastAsia"/>
        </w:rPr>
        <w:t>“</w:t>
      </w:r>
      <w:r w:rsidRPr="004726FD">
        <w:rPr>
          <w:rFonts w:hint="eastAsia"/>
          <w:lang w:val="zh-CN"/>
        </w:rPr>
        <w:t>利</w:t>
      </w:r>
      <w:r w:rsidRPr="004726FD">
        <w:rPr>
          <w:rFonts w:hint="eastAsia"/>
        </w:rPr>
        <w:t>”</w:t>
      </w:r>
      <w:r w:rsidRPr="004726FD">
        <w:rPr>
          <w:rFonts w:hint="eastAsia"/>
          <w:lang w:val="zh-CN"/>
        </w:rPr>
        <w:t>是指锋利的刀剑</w:t>
      </w:r>
      <w:r w:rsidRPr="004726FD">
        <w:rPr>
          <w:rFonts w:hint="eastAsia"/>
        </w:rPr>
        <w:t>，</w:t>
      </w:r>
      <w:r w:rsidRPr="004726FD">
        <w:rPr>
          <w:rFonts w:hint="eastAsia"/>
          <w:lang w:val="zh-CN"/>
        </w:rPr>
        <w:t>而</w:t>
      </w:r>
      <w:r w:rsidRPr="004726FD">
        <w:rPr>
          <w:rFonts w:hint="eastAsia"/>
        </w:rPr>
        <w:t>“</w:t>
      </w:r>
      <w:r w:rsidRPr="004726FD">
        <w:rPr>
          <w:rFonts w:hint="eastAsia"/>
          <w:lang w:val="zh-CN"/>
        </w:rPr>
        <w:t>善</w:t>
      </w:r>
      <w:r w:rsidRPr="004726FD">
        <w:rPr>
          <w:rFonts w:hint="eastAsia"/>
        </w:rPr>
        <w:t>”</w:t>
      </w:r>
      <w:r w:rsidRPr="004726FD">
        <w:rPr>
          <w:rFonts w:hint="eastAsia"/>
          <w:lang w:val="zh-CN"/>
        </w:rPr>
        <w:t>则指能给主人带来好运的</w:t>
      </w:r>
      <w:r w:rsidRPr="004726FD">
        <w:rPr>
          <w:rFonts w:hint="eastAsia"/>
          <w:lang w:val="zh-CN"/>
        </w:rPr>
        <w:lastRenderedPageBreak/>
        <w:t>刀剑，其说近是。“善”可训“吉祥”，</w:t>
      </w:r>
      <w:r w:rsidRPr="004726FD">
        <w:rPr>
          <w:rFonts w:hint="eastAsia"/>
        </w:rPr>
        <w:t>《礼记·中庸》：“祸福将至，善，必先知之，不善，必先知之。”</w:t>
      </w:r>
      <w:r w:rsidRPr="004726FD">
        <w:rPr>
          <w:vertAlign w:val="superscript"/>
        </w:rPr>
        <w:endnoteReference w:id="5"/>
      </w:r>
      <w:r w:rsidRPr="004726FD">
        <w:rPr>
          <w:rFonts w:hint="eastAsia"/>
        </w:rPr>
        <w:t>《说文·誩部》：“譱，吉也。”《口部》：“吉，善也。”两字互训。</w:t>
      </w:r>
      <w:r w:rsidRPr="004726FD">
        <w:rPr>
          <w:vertAlign w:val="superscript"/>
        </w:rPr>
        <w:endnoteReference w:id="6"/>
      </w:r>
      <w:r w:rsidRPr="004726FD">
        <w:rPr>
          <w:rFonts w:hint="eastAsia"/>
        </w:rPr>
        <w:t>吉利指与主人相配，不会“妨主人”。另一方面“善”常训“良”或“美”，历史上就有宝刀名为“善胜”。《梁书·陶弘景传》：“大通初，令献二刀于高祖，其一名善胜，一名威胜，并为佳宝。”</w:t>
      </w:r>
      <w:r w:rsidRPr="004726FD">
        <w:rPr>
          <w:vertAlign w:val="superscript"/>
          <w:lang w:eastAsia="zh-TW"/>
        </w:rPr>
        <w:endnoteReference w:id="7"/>
      </w:r>
      <w:r w:rsidRPr="004726FD">
        <w:rPr>
          <w:rFonts w:hint="eastAsia"/>
        </w:rPr>
        <w:t>“善”当然也可以用来泛指优良的剑。《居延汉简〈相利善剑〉覈议》认为“</w:t>
      </w:r>
      <w:r w:rsidRPr="004726FD">
        <w:rPr>
          <w:rFonts w:cs="宋体" w:hint="eastAsia"/>
          <w:szCs w:val="24"/>
        </w:rPr>
        <w:t>利”“善”有涵盖内容上的差别，“利偏重于锋刃部的特点，而善则是整体的评价”，就是说的宽泛意义上的“善”。</w:t>
      </w:r>
      <w:r w:rsidRPr="004726FD">
        <w:rPr>
          <w:rFonts w:hint="eastAsia"/>
        </w:rPr>
        <w:t>笔者认为，简文在没有特意将“利”“善”对言时，“善”盖“良、好”之义；在强调二者的区别时，则用“利”指剑的性能、用“善”指剑的吉凶，所谓“对文则异，散文则通”是也。</w:t>
      </w:r>
    </w:p>
    <w:p w14:paraId="367018A9" w14:textId="77777777" w:rsidR="0044246D" w:rsidRPr="004726FD" w:rsidRDefault="0044246D" w:rsidP="004726FD">
      <w:pPr>
        <w:pStyle w:val="aff6"/>
        <w:ind w:firstLine="560"/>
        <w:rPr>
          <w:rFonts w:eastAsia="PMingLiU"/>
        </w:rPr>
      </w:pPr>
      <w:r w:rsidRPr="004726FD">
        <w:rPr>
          <w:rFonts w:hint="eastAsia"/>
        </w:rPr>
        <w:t>“故器”即旧剑，是使用时间较长的剑。《居延汉简〈相剑刀〉册初探》由于将“推处”理解为剑格，使得新旧器的差别体现在了剑的形制上，不得不认为旧剑“早于简册时代以前”，“</w:t>
      </w:r>
      <w:r w:rsidRPr="004726FD">
        <w:rPr>
          <w:rFonts w:hint="eastAsia"/>
          <w:kern w:val="0"/>
          <w:szCs w:val="24"/>
          <w:lang w:val="zh-CN"/>
        </w:rPr>
        <w:t>甚至可能指春秋战国以来出自能工巧匠之手的传世宝剑</w:t>
      </w:r>
      <w:r w:rsidRPr="004726FD">
        <w:rPr>
          <w:rFonts w:hint="eastAsia"/>
        </w:rPr>
        <w:t>”，陈力则认为“故器是指有收藏价值的古刀剑或传世品”。这两说都主张简册所相之剑为钢铁剑，致使新、故剑一为实用器、一为古董，时代悬隔，颇不合适。</w:t>
      </w:r>
    </w:p>
    <w:p w14:paraId="056ED9B3" w14:textId="77777777" w:rsidR="0044246D" w:rsidRPr="004726FD" w:rsidRDefault="0044246D" w:rsidP="004726FD">
      <w:pPr>
        <w:pStyle w:val="aff6"/>
        <w:ind w:firstLine="560"/>
        <w:rPr>
          <w:rFonts w:eastAsia="PMingLiU"/>
          <w:szCs w:val="24"/>
          <w:lang w:val="zh-CN" w:eastAsia="zh-TW"/>
        </w:rPr>
      </w:pPr>
      <w:r w:rsidRPr="004726FD">
        <w:rPr>
          <w:rFonts w:hint="eastAsia"/>
        </w:rPr>
        <w:t>顺带在本节解释一下“敝”“恶”“新”三词的概念。“</w:t>
      </w:r>
      <w:r w:rsidRPr="004726FD">
        <w:rPr>
          <w:rFonts w:cs="宋体" w:hint="eastAsia"/>
          <w:szCs w:val="24"/>
        </w:rPr>
        <w:t>敝”通“弊”，</w:t>
      </w:r>
      <w:r w:rsidRPr="004726FD">
        <w:rPr>
          <w:rFonts w:hint="eastAsia"/>
        </w:rPr>
        <w:lastRenderedPageBreak/>
        <w:t>李零解释为“</w:t>
      </w:r>
      <w:r w:rsidRPr="004726FD">
        <w:rPr>
          <w:rFonts w:hint="eastAsia"/>
          <w:lang w:val="zh-CN"/>
        </w:rPr>
        <w:t>质量差”，</w:t>
      </w:r>
      <w:r w:rsidRPr="004726FD">
        <w:rPr>
          <w:rFonts w:hint="eastAsia"/>
          <w:szCs w:val="24"/>
          <w:lang w:val="zh-CN"/>
        </w:rPr>
        <w:t>陈力</w:t>
      </w:r>
      <w:r w:rsidRPr="004726FD">
        <w:rPr>
          <w:rFonts w:hint="eastAsia"/>
          <w:szCs w:val="24"/>
        </w:rPr>
        <w:t>说</w:t>
      </w:r>
      <w:r w:rsidRPr="004726FD">
        <w:rPr>
          <w:rFonts w:hint="eastAsia"/>
          <w:szCs w:val="24"/>
          <w:lang w:val="zh-CN"/>
        </w:rPr>
        <w:t>为“不锋利”，</w:t>
      </w:r>
      <w:r w:rsidRPr="004726FD">
        <w:rPr>
          <w:rFonts w:hint="eastAsia"/>
        </w:rPr>
        <w:t>苏辉</w:t>
      </w:r>
      <w:r w:rsidRPr="004726FD">
        <w:rPr>
          <w:rFonts w:hint="eastAsia"/>
          <w:szCs w:val="24"/>
          <w:lang w:val="zh-CN"/>
        </w:rPr>
        <w:t>则认为是用来“</w:t>
      </w:r>
      <w:r w:rsidRPr="004726FD">
        <w:rPr>
          <w:rFonts w:cs="宋体" w:hint="eastAsia"/>
          <w:szCs w:val="24"/>
        </w:rPr>
        <w:t>形容劣质器具的通用术语”。三说都是从质量方面考虑的，我们认为还不够完备。简文中“敝剑”是与“善剑”对举的，如“欲知剑利善”“欲知敝剑”；“善剑四事”“敝剑六事”，应当是对不好的剑及剑文的通称。准上文所说，“善”的概念至少包含质量与吉凶两方面因素，那么“敝”也应作平行的理解。尤其是“恶、新器”剑文又可以称为“敝”剑文，其中正包含有“皆凶不利者”一项。</w:t>
      </w:r>
      <w:r w:rsidRPr="004726FD">
        <w:rPr>
          <w:rFonts w:hint="eastAsia"/>
        </w:rPr>
        <w:t>《居延汉简相剑刀册释读析疑》说“敝</w:t>
      </w:r>
      <w:r w:rsidRPr="004726FD">
        <w:rPr>
          <w:rFonts w:hint="eastAsia"/>
          <w:szCs w:val="24"/>
        </w:rPr>
        <w:t>，</w:t>
      </w:r>
      <w:r w:rsidRPr="004726FD">
        <w:rPr>
          <w:rFonts w:hint="eastAsia"/>
          <w:szCs w:val="24"/>
          <w:lang w:val="zh-CN"/>
        </w:rPr>
        <w:t>意为不好的、粗劣的”，可谓通言。</w:t>
      </w:r>
    </w:p>
    <w:p w14:paraId="08A25FDA" w14:textId="77777777" w:rsidR="0044246D" w:rsidRPr="004726FD" w:rsidRDefault="0044246D" w:rsidP="004726FD">
      <w:pPr>
        <w:pStyle w:val="aff6"/>
        <w:ind w:firstLine="560"/>
        <w:rPr>
          <w:rFonts w:eastAsia="PMingLiU" w:cs="宋体"/>
          <w:szCs w:val="24"/>
        </w:rPr>
      </w:pPr>
      <w:r w:rsidRPr="004726FD">
        <w:rPr>
          <w:rFonts w:cs="宋体" w:hint="eastAsia"/>
          <w:szCs w:val="24"/>
        </w:rPr>
        <w:t>“恶”是专指剑制作的粗劣而言。简文中与“恶”相对的概念是“利”，如“利善剑文”“恶、新器剑文”；“强者表恶，弱则利”，都是从质量方面衡量的。《考工记·筑氏》：</w:t>
      </w:r>
      <w:r w:rsidRPr="004726FD">
        <w:rPr>
          <w:rFonts w:hint="eastAsia"/>
        </w:rPr>
        <w:t>“欲新而无穷，敝尽而无恶。</w:t>
      </w:r>
      <w:r w:rsidRPr="004726FD">
        <w:rPr>
          <w:rFonts w:cs="宋体" w:hint="eastAsia"/>
          <w:szCs w:val="24"/>
        </w:rPr>
        <w:t>”郑注前句云：“</w:t>
      </w:r>
      <w:r w:rsidRPr="004726FD">
        <w:rPr>
          <w:rFonts w:hint="eastAsia"/>
        </w:rPr>
        <w:t>谓其利也。</w:t>
      </w:r>
      <w:r w:rsidRPr="004726FD">
        <w:rPr>
          <w:rFonts w:cs="宋体" w:hint="eastAsia"/>
          <w:szCs w:val="24"/>
        </w:rPr>
        <w:t>”注后句云：“</w:t>
      </w:r>
      <w:r w:rsidRPr="004726FD">
        <w:rPr>
          <w:rFonts w:hint="eastAsia"/>
        </w:rPr>
        <w:t>玄谓刃也，脊也，其金如一，虽至敝尽，无瑕恶也。</w:t>
      </w:r>
      <w:r w:rsidRPr="004726FD">
        <w:rPr>
          <w:rFonts w:cs="宋体" w:hint="eastAsia"/>
          <w:szCs w:val="24"/>
        </w:rPr>
        <w:t>”</w:t>
      </w:r>
      <w:r w:rsidRPr="004726FD">
        <w:rPr>
          <w:rFonts w:cs="宋体"/>
          <w:szCs w:val="24"/>
          <w:vertAlign w:val="superscript"/>
          <w:lang w:eastAsia="zh-TW"/>
        </w:rPr>
        <w:endnoteReference w:id="8"/>
      </w:r>
      <w:r w:rsidRPr="004726FD">
        <w:rPr>
          <w:rFonts w:cs="宋体" w:hint="eastAsia"/>
          <w:szCs w:val="24"/>
        </w:rPr>
        <w:t>同样也是“利”“恶”对举。本句说的是筑氏所做之削，虽磨损殆尽，但材质如故，不见瑕疵。</w:t>
      </w:r>
      <w:r w:rsidRPr="004726FD">
        <w:rPr>
          <w:rFonts w:cs="宋体"/>
          <w:szCs w:val="24"/>
          <w:vertAlign w:val="superscript"/>
          <w:lang w:eastAsia="zh-TW"/>
        </w:rPr>
        <w:endnoteReference w:id="9"/>
      </w:r>
      <w:r w:rsidRPr="004726FD">
        <w:rPr>
          <w:rFonts w:cs="宋体" w:hint="eastAsia"/>
          <w:szCs w:val="24"/>
        </w:rPr>
        <w:t>所谓“瑕恶”，研究者以为可能是指铸造过程中产生的砂眼等缺陷，</w:t>
      </w:r>
      <w:r w:rsidRPr="004726FD">
        <w:rPr>
          <w:rFonts w:cs="宋体"/>
          <w:szCs w:val="24"/>
          <w:vertAlign w:val="superscript"/>
          <w:lang w:eastAsia="zh-TW"/>
        </w:rPr>
        <w:endnoteReference w:id="10"/>
      </w:r>
      <w:r w:rsidRPr="004726FD">
        <w:rPr>
          <w:rFonts w:cs="宋体" w:hint="eastAsia"/>
          <w:szCs w:val="24"/>
        </w:rPr>
        <w:t>也即铸造之粗劣。</w:t>
      </w:r>
    </w:p>
    <w:p w14:paraId="5843EE08" w14:textId="77777777" w:rsidR="0044246D" w:rsidRPr="004726FD" w:rsidRDefault="0044246D" w:rsidP="004726FD">
      <w:pPr>
        <w:pStyle w:val="aff6"/>
        <w:ind w:firstLine="560"/>
        <w:rPr>
          <w:rFonts w:eastAsia="PMingLiU"/>
        </w:rPr>
      </w:pPr>
      <w:r w:rsidRPr="004726FD">
        <w:rPr>
          <w:rFonts w:hint="eastAsia"/>
        </w:rPr>
        <w:t>“新器”指新剑，未开刃或使用时间较短的剑。</w:t>
      </w:r>
    </w:p>
    <w:p w14:paraId="410F9FD1" w14:textId="77777777" w:rsidR="0044246D" w:rsidRPr="004726FD" w:rsidRDefault="0044246D" w:rsidP="004726FD">
      <w:pPr>
        <w:pStyle w:val="aff6"/>
        <w:ind w:firstLine="560"/>
      </w:pPr>
      <w:r w:rsidRPr="004726FD">
        <w:rPr>
          <w:rFonts w:hint="eastAsia"/>
        </w:rPr>
        <w:t>“起拔之”，一般都未点断，但实际是指两个动作，“起”是起身，“拔”谓拔剑。</w:t>
      </w:r>
    </w:p>
    <w:p w14:paraId="0F72F8E2" w14:textId="77777777" w:rsidR="0044246D" w:rsidRPr="004726FD" w:rsidRDefault="0044246D" w:rsidP="004726FD">
      <w:pPr>
        <w:pStyle w:val="aff6"/>
        <w:ind w:firstLine="560"/>
        <w:rPr>
          <w:rFonts w:eastAsia="PMingLiU"/>
          <w:lang w:val="zh-CN" w:eastAsia="zh-TW"/>
        </w:rPr>
      </w:pPr>
      <w:r w:rsidRPr="004726FD">
        <w:rPr>
          <w:rFonts w:hint="eastAsia"/>
        </w:rPr>
        <w:lastRenderedPageBreak/>
        <w:t>“推处”，《居延汉简〈相剑刀〉册初探》</w:t>
      </w:r>
      <w:r w:rsidRPr="004726FD">
        <w:rPr>
          <w:rFonts w:hint="eastAsia"/>
          <w:lang w:val="zh-CN"/>
        </w:rPr>
        <w:t>《居延新简释粹》《中国简牍集成》</w:t>
      </w:r>
      <w:r w:rsidRPr="004726FD">
        <w:rPr>
          <w:rFonts w:hint="eastAsia"/>
        </w:rPr>
        <w:t>都认为是“剑格”，这是不正确的。整篇简文谈剑都是讲剑身的，与剑格无关。《汉“相剑刀册”略说》也指出，</w:t>
      </w:r>
      <w:r w:rsidRPr="004726FD">
        <w:rPr>
          <w:rFonts w:hint="eastAsia"/>
          <w:szCs w:val="24"/>
        </w:rPr>
        <w:t>“</w:t>
      </w:r>
      <w:r w:rsidRPr="004726FD">
        <w:rPr>
          <w:rFonts w:hint="eastAsia"/>
          <w:szCs w:val="24"/>
          <w:lang w:val="zh-CN"/>
        </w:rPr>
        <w:t>推处</w:t>
      </w:r>
      <w:r w:rsidRPr="004726FD">
        <w:rPr>
          <w:rFonts w:hint="eastAsia"/>
          <w:szCs w:val="24"/>
        </w:rPr>
        <w:t>”</w:t>
      </w:r>
      <w:r w:rsidRPr="004726FD">
        <w:rPr>
          <w:rFonts w:hint="eastAsia"/>
          <w:szCs w:val="24"/>
          <w:lang w:val="zh-CN"/>
        </w:rPr>
        <w:t>若即剑格</w:t>
      </w:r>
      <w:r w:rsidRPr="004726FD">
        <w:rPr>
          <w:rFonts w:hint="eastAsia"/>
          <w:szCs w:val="24"/>
        </w:rPr>
        <w:t>，</w:t>
      </w:r>
      <w:r w:rsidRPr="004726FD">
        <w:rPr>
          <w:rFonts w:hint="eastAsia"/>
          <w:szCs w:val="24"/>
          <w:lang w:val="zh-CN"/>
        </w:rPr>
        <w:t>文中</w:t>
      </w:r>
      <w:r w:rsidRPr="004726FD">
        <w:rPr>
          <w:rFonts w:hint="eastAsia"/>
          <w:szCs w:val="24"/>
        </w:rPr>
        <w:t>“</w:t>
      </w:r>
      <w:r w:rsidRPr="004726FD">
        <w:rPr>
          <w:rFonts w:hint="eastAsia"/>
          <w:szCs w:val="24"/>
          <w:lang w:val="zh-CN"/>
        </w:rPr>
        <w:t>起拔之</w:t>
      </w:r>
      <w:r w:rsidRPr="004726FD">
        <w:rPr>
          <w:rFonts w:hint="eastAsia"/>
          <w:szCs w:val="24"/>
        </w:rPr>
        <w:t>，</w:t>
      </w:r>
      <w:r w:rsidRPr="004726FD">
        <w:rPr>
          <w:rFonts w:hint="eastAsia"/>
          <w:szCs w:val="24"/>
          <w:lang w:val="zh-CN"/>
        </w:rPr>
        <w:t>视之身中……</w:t>
      </w:r>
      <w:r w:rsidRPr="004726FD">
        <w:rPr>
          <w:rFonts w:hint="eastAsia"/>
          <w:szCs w:val="24"/>
        </w:rPr>
        <w:t>”的</w:t>
      </w:r>
      <w:r w:rsidRPr="004726FD">
        <w:rPr>
          <w:rFonts w:hint="eastAsia"/>
          <w:szCs w:val="24"/>
          <w:lang w:val="zh-CN"/>
        </w:rPr>
        <w:t>动作就殊不必要了，剑在未拔出时剑格亦可得见。</w:t>
      </w:r>
      <w:r w:rsidRPr="004726FD">
        <w:rPr>
          <w:rFonts w:hint="eastAsia"/>
        </w:rPr>
        <w:t>陈力认为“推”是“推引”之义，指刀剑开刃时研磨戗削的动作，“推处”指刀剑开刃时留下的戗削痕迹，《汉“相剑刀册”略说》《居延汉简〈相利善剑〉覈议》</w:t>
      </w:r>
      <w:r w:rsidRPr="004726FD">
        <w:rPr>
          <w:rFonts w:hint="eastAsia"/>
          <w:szCs w:val="24"/>
          <w:lang w:val="zh-CN"/>
        </w:rPr>
        <w:t>从之。问题是刀剑并非只在开刃时研磨，而要时时砥砺。《韩诗外传》云：“</w:t>
      </w:r>
      <w:r w:rsidRPr="004726FD">
        <w:rPr>
          <w:rFonts w:hint="eastAsia"/>
          <w:lang w:val="zh-CN"/>
        </w:rPr>
        <w:t>剑虽利，不厉不断。材虽美，不学不高。”</w:t>
      </w:r>
      <w:r w:rsidRPr="004726FD">
        <w:rPr>
          <w:vertAlign w:val="superscript"/>
          <w:lang w:val="zh-CN" w:eastAsia="zh-TW"/>
        </w:rPr>
        <w:endnoteReference w:id="11"/>
      </w:r>
      <w:r w:rsidRPr="004726FD">
        <w:rPr>
          <w:rFonts w:hint="eastAsia"/>
          <w:lang w:val="zh-CN"/>
        </w:rPr>
        <w:t>先秦文献记载军队中专门配有从事磨砺兵器的人员，称为“巧手”。《六韬》卷四《虎韬·军用》篇说“修治攻具、砥砺兵器巧手三百人”。</w:t>
      </w:r>
      <w:r w:rsidRPr="004726FD">
        <w:rPr>
          <w:vertAlign w:val="superscript"/>
          <w:lang w:val="zh-CN" w:eastAsia="zh-TW"/>
        </w:rPr>
        <w:endnoteReference w:id="12"/>
      </w:r>
      <w:r w:rsidRPr="004726FD">
        <w:rPr>
          <w:rFonts w:hint="eastAsia"/>
          <w:lang w:val="zh-CN"/>
        </w:rPr>
        <w:t>《史记·梁孝王世家》“褚先生曰”写道，正因为刺杀袁盎的剑有新“削厉”的痕迹，朝廷才发觉梁王是幕后主使。</w:t>
      </w:r>
      <w:r w:rsidRPr="004726FD">
        <w:rPr>
          <w:vertAlign w:val="superscript"/>
          <w:lang w:val="zh-CN" w:eastAsia="zh-TW"/>
        </w:rPr>
        <w:endnoteReference w:id="13"/>
      </w:r>
      <w:r w:rsidRPr="004726FD">
        <w:rPr>
          <w:rFonts w:hint="eastAsia"/>
          <w:lang w:val="zh-CN"/>
        </w:rPr>
        <w:t>可见磨痕的有无并不能显示剑是新器抑或故器。</w:t>
      </w:r>
      <w:r w:rsidRPr="004726FD">
        <w:rPr>
          <w:rFonts w:hint="eastAsia"/>
        </w:rPr>
        <w:t>《居延汉简相剑刀册释读析疑》</w:t>
      </w:r>
      <w:r w:rsidRPr="004726FD">
        <w:rPr>
          <w:rFonts w:hint="eastAsia"/>
          <w:lang w:val="zh-CN"/>
        </w:rPr>
        <w:t>认为</w:t>
      </w:r>
      <w:r w:rsidRPr="004726FD">
        <w:rPr>
          <w:rFonts w:hint="eastAsia"/>
        </w:rPr>
        <w:t>“</w:t>
      </w:r>
      <w:r w:rsidRPr="004726FD">
        <w:rPr>
          <w:rFonts w:hint="eastAsia"/>
          <w:lang w:val="zh-CN"/>
        </w:rPr>
        <w:t>推</w:t>
      </w:r>
      <w:r w:rsidRPr="004726FD">
        <w:rPr>
          <w:rFonts w:hint="eastAsia"/>
        </w:rPr>
        <w:t>”</w:t>
      </w:r>
      <w:r w:rsidRPr="004726FD">
        <w:rPr>
          <w:rFonts w:hint="eastAsia"/>
          <w:lang w:val="zh-CN"/>
        </w:rPr>
        <w:t>有刺义</w:t>
      </w:r>
      <w:r w:rsidRPr="004726FD">
        <w:rPr>
          <w:rFonts w:hint="eastAsia"/>
        </w:rPr>
        <w:t>，“</w:t>
      </w:r>
      <w:r w:rsidRPr="004726FD">
        <w:rPr>
          <w:rFonts w:hint="eastAsia"/>
          <w:lang w:val="zh-CN"/>
        </w:rPr>
        <w:t>推处</w:t>
      </w:r>
      <w:r w:rsidRPr="004726FD">
        <w:rPr>
          <w:rFonts w:hint="eastAsia"/>
        </w:rPr>
        <w:t>”</w:t>
      </w:r>
      <w:r w:rsidRPr="004726FD">
        <w:rPr>
          <w:rFonts w:hint="eastAsia"/>
          <w:lang w:val="zh-CN"/>
        </w:rPr>
        <w:t>指剑端的锋刃或曲刃的节尖，“身中无推处”则是就曲刃而言的。但这种剑的形制过于特殊，似不能作为判断新旧剑的通用标准。</w:t>
      </w:r>
    </w:p>
    <w:p w14:paraId="48C2B56A" w14:textId="77777777" w:rsidR="0044246D" w:rsidRPr="004726FD" w:rsidRDefault="0044246D" w:rsidP="004726FD">
      <w:pPr>
        <w:pStyle w:val="aff6"/>
        <w:ind w:firstLine="560"/>
        <w:rPr>
          <w:rFonts w:eastAsia="PMingLiU"/>
        </w:rPr>
      </w:pPr>
      <w:r w:rsidRPr="004726FD">
        <w:rPr>
          <w:rFonts w:hint="eastAsia"/>
          <w:lang w:val="zh-CN"/>
        </w:rPr>
        <w:t>在众家说法中，我们认为陈力提到的“或说”近是，</w:t>
      </w:r>
      <w:r w:rsidRPr="004726FD">
        <w:rPr>
          <w:rFonts w:hint="eastAsia"/>
        </w:rPr>
        <w:t>“推”即“椎”。</w:t>
      </w:r>
      <w:r w:rsidRPr="004726FD">
        <w:rPr>
          <w:rFonts w:hint="eastAsia"/>
          <w:szCs w:val="24"/>
          <w:lang w:val="zh-CN"/>
        </w:rPr>
        <w:t>不过两字除了假借关系外，还有可能“推”代表的就是语言中“锻打”</w:t>
      </w:r>
      <w:r w:rsidRPr="004726FD">
        <w:rPr>
          <w:rFonts w:hint="eastAsia"/>
          <w:szCs w:val="24"/>
          <w:lang w:val="zh-CN"/>
        </w:rPr>
        <w:lastRenderedPageBreak/>
        <w:t>义的</w:t>
      </w:r>
      <w:r w:rsidRPr="004726FD">
        <w:rPr>
          <w:rFonts w:hint="eastAsia"/>
          <w:szCs w:val="24"/>
          <w:lang w:val="zh-CN" w:eastAsia="zh-TW"/>
        </w:rPr>
        <w:t>{</w:t>
      </w:r>
      <w:r w:rsidRPr="004726FD">
        <w:rPr>
          <w:rFonts w:hint="eastAsia"/>
          <w:szCs w:val="24"/>
          <w:lang w:val="zh-CN"/>
        </w:rPr>
        <w:t>椎</w:t>
      </w:r>
      <w:r w:rsidRPr="004726FD">
        <w:rPr>
          <w:rFonts w:hint="eastAsia"/>
          <w:szCs w:val="24"/>
          <w:lang w:val="zh-CN" w:eastAsia="zh-TW"/>
        </w:rPr>
        <w:t>}</w:t>
      </w:r>
      <w:r w:rsidRPr="004726FD">
        <w:rPr>
          <w:rFonts w:hint="eastAsia"/>
          <w:szCs w:val="24"/>
          <w:lang w:val="zh-CN"/>
        </w:rPr>
        <w:t>，</w:t>
      </w:r>
      <w:r w:rsidRPr="004726FD">
        <w:rPr>
          <w:rFonts w:hint="eastAsia"/>
        </w:rPr>
        <w:t>从手表示动作，和“推拉”的“推”是同形字。椎，锻也。《后汉书·韦彪传》注引《苍颉篇》：“锻，椎也。”</w:t>
      </w:r>
      <w:r w:rsidRPr="004726FD">
        <w:rPr>
          <w:vertAlign w:val="superscript"/>
          <w:lang w:eastAsia="zh-TW"/>
        </w:rPr>
        <w:endnoteReference w:id="14"/>
      </w:r>
      <w:r w:rsidRPr="004726FD">
        <w:rPr>
          <w:rFonts w:hint="eastAsia"/>
        </w:rPr>
        <w:t>“椎锻”或连言，如《韩非子·外储说右下》：“椎锻者，所以平不夷也；榜檠者，所以矫不直也。”</w:t>
      </w:r>
      <w:r w:rsidRPr="004726FD">
        <w:rPr>
          <w:vertAlign w:val="superscript"/>
          <w:lang w:eastAsia="zh-TW"/>
        </w:rPr>
        <w:endnoteReference w:id="15"/>
      </w:r>
      <w:r w:rsidRPr="004726FD">
        <w:rPr>
          <w:rFonts w:hint="eastAsia"/>
        </w:rPr>
        <w:t>类似意思又称为“锻炼”，如王充《论衡·率性》：“夫铁石天然，尚为锻炼者变易故质，况人含五常之性，贤圣未之熟锻炼耳，奚患性之不善哉？”</w:t>
      </w:r>
      <w:r w:rsidRPr="004726FD">
        <w:rPr>
          <w:vertAlign w:val="superscript"/>
          <w:lang w:eastAsia="zh-TW"/>
        </w:rPr>
        <w:endnoteReference w:id="16"/>
      </w:r>
      <w:r w:rsidRPr="004726FD">
        <w:rPr>
          <w:rFonts w:hint="eastAsia"/>
        </w:rPr>
        <w:t>唐郭震《古剑歌》：“良工锻炼经几年，铸得宝剑名龙泉。”</w:t>
      </w:r>
      <w:r w:rsidRPr="004726FD">
        <w:rPr>
          <w:vertAlign w:val="superscript"/>
          <w:lang w:eastAsia="zh-TW"/>
        </w:rPr>
        <w:endnoteReference w:id="17"/>
      </w:r>
      <w:r w:rsidRPr="004726FD">
        <w:rPr>
          <w:rFonts w:hint="eastAsia"/>
        </w:rPr>
        <w:t>“椎处”即椎击锻打之处。</w:t>
      </w:r>
    </w:p>
    <w:p w14:paraId="70B69000" w14:textId="77777777" w:rsidR="0044246D" w:rsidRPr="004726FD" w:rsidRDefault="0044246D" w:rsidP="004726FD">
      <w:pPr>
        <w:pStyle w:val="aff6"/>
        <w:ind w:firstLine="560"/>
      </w:pPr>
      <w:r w:rsidRPr="004726FD">
        <w:rPr>
          <w:rFonts w:hint="eastAsia"/>
        </w:rPr>
        <w:t>故器就是旧剑。旧剑使用时间长，加之磨砺，剑身上的椎击锻打痕迹逐渐被磨平，变成“无椎处”，是很正常的。金属器物刚开始用时会因没开刃或滞涩而不合手，随着使用时间增长，才会变得顺滑爽利。故简文以旧剑为善，而以新剑与粗恶之器并列。</w:t>
      </w:r>
    </w:p>
    <w:p w14:paraId="26BF50CE" w14:textId="77777777" w:rsidR="0044246D" w:rsidRPr="004726FD" w:rsidRDefault="0044246D" w:rsidP="004726FD">
      <w:pPr>
        <w:pStyle w:val="aff6"/>
        <w:ind w:firstLine="560"/>
        <w:rPr>
          <w:rFonts w:eastAsia="PMingLiU"/>
        </w:rPr>
      </w:pPr>
      <w:r w:rsidRPr="004726FD">
        <w:rPr>
          <w:rFonts w:hint="eastAsia"/>
        </w:rPr>
        <w:t>“必视之身中有黑两桁不绝者”，陈力主张“</w:t>
      </w:r>
      <w:r w:rsidRPr="004726FD">
        <w:rPr>
          <w:rFonts w:hint="eastAsia"/>
          <w:lang w:val="zh-CN"/>
        </w:rPr>
        <w:t>两桁不绝</w:t>
      </w:r>
      <w:r w:rsidRPr="004726FD">
        <w:rPr>
          <w:rFonts w:hint="eastAsia"/>
        </w:rPr>
        <w:t>”</w:t>
      </w:r>
      <w:r w:rsidRPr="004726FD">
        <w:rPr>
          <w:rFonts w:hint="eastAsia"/>
          <w:lang w:val="zh-CN"/>
        </w:rPr>
        <w:t>是指称为</w:t>
      </w:r>
      <w:r w:rsidRPr="004726FD">
        <w:rPr>
          <w:rFonts w:hint="eastAsia"/>
        </w:rPr>
        <w:t>“</w:t>
      </w:r>
      <w:r w:rsidRPr="004726FD">
        <w:rPr>
          <w:rFonts w:hint="eastAsia"/>
          <w:lang w:val="zh-CN"/>
        </w:rPr>
        <w:t>黑</w:t>
      </w:r>
      <w:r w:rsidRPr="004726FD">
        <w:rPr>
          <w:rFonts w:hint="eastAsia"/>
        </w:rPr>
        <w:t>”</w:t>
      </w:r>
      <w:r w:rsidRPr="004726FD">
        <w:rPr>
          <w:rFonts w:hint="eastAsia"/>
          <w:lang w:val="zh-CN"/>
        </w:rPr>
        <w:t>的锻层相互平行</w:t>
      </w:r>
      <w:r w:rsidRPr="004726FD">
        <w:rPr>
          <w:rFonts w:hint="eastAsia"/>
        </w:rPr>
        <w:t>、</w:t>
      </w:r>
      <w:r w:rsidRPr="004726FD">
        <w:rPr>
          <w:rFonts w:hint="eastAsia"/>
          <w:lang w:val="zh-CN"/>
        </w:rPr>
        <w:t>各无断绝</w:t>
      </w:r>
      <w:r w:rsidRPr="004726FD">
        <w:rPr>
          <w:rFonts w:hint="eastAsia"/>
        </w:rPr>
        <w:t>，</w:t>
      </w:r>
      <w:r w:rsidRPr="004726FD">
        <w:rPr>
          <w:rFonts w:hint="eastAsia"/>
          <w:lang w:val="zh-CN"/>
        </w:rPr>
        <w:t>并举出</w:t>
      </w:r>
      <w:r w:rsidRPr="004726FD">
        <w:rPr>
          <w:rFonts w:hint="eastAsia"/>
        </w:rPr>
        <w:t>建初铁刀高低碳层相间的现象为证据。</w:t>
      </w:r>
      <w:r w:rsidRPr="004726FD">
        <w:rPr>
          <w:vertAlign w:val="superscript"/>
          <w:lang w:eastAsia="zh-TW"/>
        </w:rPr>
        <w:endnoteReference w:id="18"/>
      </w:r>
      <w:r w:rsidRPr="004726FD">
        <w:rPr>
          <w:rFonts w:hint="eastAsia"/>
        </w:rPr>
        <w:t>其实这是一种误解，高低碳层是在刀剑反复折叠锻打的过程中形成的，因此分层的现象也只能在断面中观察，这一点以往的研究已说得很清楚。</w:t>
      </w:r>
      <w:r w:rsidRPr="004726FD">
        <w:rPr>
          <w:vertAlign w:val="superscript"/>
          <w:lang w:eastAsia="zh-TW"/>
        </w:rPr>
        <w:endnoteReference w:id="19"/>
      </w:r>
      <w:r w:rsidRPr="004726FD">
        <w:rPr>
          <w:rFonts w:hint="eastAsia"/>
        </w:rPr>
        <w:t>而相剑者一般是无法看到刀剑的断面的，除非刀剑已经破损或折断漏出截面，因此“黑两桁”很显然不能以此立论。《居延汉简相剑刀册释读析疑》又提出这句话意为“</w:t>
      </w:r>
      <w:r w:rsidRPr="004726FD">
        <w:rPr>
          <w:rFonts w:hint="eastAsia"/>
          <w:szCs w:val="24"/>
          <w:lang w:val="zh-CN"/>
        </w:rPr>
        <w:t>剑身中有</w:t>
      </w:r>
      <w:r w:rsidRPr="004726FD">
        <w:rPr>
          <w:rFonts w:hint="eastAsia"/>
          <w:szCs w:val="24"/>
          <w:lang w:val="zh-CN"/>
        </w:rPr>
        <w:lastRenderedPageBreak/>
        <w:t>黑坚</w:t>
      </w:r>
      <w:r w:rsidRPr="004726FD">
        <w:rPr>
          <w:rFonts w:hint="eastAsia"/>
          <w:szCs w:val="24"/>
        </w:rPr>
        <w:t>，</w:t>
      </w:r>
      <w:r w:rsidRPr="004726FD">
        <w:rPr>
          <w:rFonts w:hint="eastAsia"/>
          <w:szCs w:val="24"/>
          <w:lang w:val="zh-CN"/>
        </w:rPr>
        <w:t>与白坚相间</w:t>
      </w:r>
      <w:r w:rsidRPr="004726FD">
        <w:rPr>
          <w:rFonts w:hint="eastAsia"/>
          <w:szCs w:val="24"/>
        </w:rPr>
        <w:t>，</w:t>
      </w:r>
      <w:r w:rsidRPr="004726FD">
        <w:rPr>
          <w:rFonts w:hint="eastAsia"/>
          <w:szCs w:val="24"/>
          <w:lang w:val="zh-CN"/>
        </w:rPr>
        <w:t>两偶并行</w:t>
      </w:r>
      <w:r w:rsidRPr="004726FD">
        <w:rPr>
          <w:rFonts w:hint="eastAsia"/>
          <w:szCs w:val="24"/>
        </w:rPr>
        <w:t>，</w:t>
      </w:r>
      <w:r w:rsidRPr="004726FD">
        <w:rPr>
          <w:rFonts w:hint="eastAsia"/>
          <w:szCs w:val="24"/>
          <w:lang w:val="zh-CN"/>
        </w:rPr>
        <w:t>各不断绝”，但这样的现象不论在钢铁剑还是青铜剑中似乎都未曾看到。两文的共同点是，都把“黑”当作名词，将“两桁”理解为平行、并行之类的意思，</w:t>
      </w:r>
      <w:r w:rsidRPr="004726FD">
        <w:rPr>
          <w:rFonts w:hint="eastAsia"/>
        </w:rPr>
        <w:t>从而均在“黑”后点断。按我们的意见，这样句读是错误的，因为“黑”形容的正是“两桁”的颜色。</w:t>
      </w:r>
    </w:p>
    <w:p w14:paraId="148BAB9B" w14:textId="77777777" w:rsidR="0044246D" w:rsidRPr="004726FD" w:rsidRDefault="0044246D" w:rsidP="004726FD">
      <w:pPr>
        <w:pStyle w:val="aff6"/>
        <w:ind w:firstLine="560"/>
        <w:rPr>
          <w:rFonts w:eastAsia="PMingLiU"/>
        </w:rPr>
      </w:pPr>
      <w:r w:rsidRPr="004726FD">
        <w:rPr>
          <w:rFonts w:hint="eastAsia"/>
        </w:rPr>
        <w:t>之前的研究也有将“两行”理解为名词的，如《居延汉简〈相剑刀〉册初探》认为“两桁”指</w:t>
      </w:r>
      <w:r w:rsidRPr="004726FD">
        <w:rPr>
          <w:rFonts w:hint="eastAsia"/>
          <w:lang w:val="zh-CN"/>
        </w:rPr>
        <w:t>剑身以剑脊为中心线的两个半面</w:t>
      </w:r>
      <w:r w:rsidRPr="004726FD">
        <w:rPr>
          <w:rFonts w:hint="eastAsia"/>
        </w:rPr>
        <w:t>，即</w:t>
      </w:r>
      <w:r w:rsidRPr="004726FD">
        <w:rPr>
          <w:rFonts w:hint="eastAsia"/>
          <w:kern w:val="0"/>
          <w:szCs w:val="24"/>
          <w:lang w:val="zh-CN"/>
        </w:rPr>
        <w:t>《考工记</w:t>
      </w:r>
      <w:r w:rsidRPr="004726FD">
        <w:rPr>
          <w:rFonts w:hint="eastAsia"/>
          <w:kern w:val="0"/>
          <w:szCs w:val="24"/>
        </w:rPr>
        <w:t>·</w:t>
      </w:r>
      <w:r w:rsidRPr="004726FD">
        <w:rPr>
          <w:rFonts w:hint="eastAsia"/>
          <w:kern w:val="0"/>
          <w:szCs w:val="24"/>
          <w:lang w:val="zh-CN"/>
        </w:rPr>
        <w:t>桃氏》的</w:t>
      </w:r>
      <w:r w:rsidRPr="004726FD">
        <w:rPr>
          <w:rFonts w:hint="eastAsia"/>
          <w:kern w:val="0"/>
          <w:szCs w:val="24"/>
        </w:rPr>
        <w:t>“</w:t>
      </w:r>
      <w:r w:rsidRPr="004726FD">
        <w:rPr>
          <w:rFonts w:hint="eastAsia"/>
          <w:kern w:val="0"/>
          <w:szCs w:val="24"/>
          <w:lang w:val="zh-CN"/>
        </w:rPr>
        <w:t>两从</w:t>
      </w:r>
      <w:r w:rsidRPr="004726FD">
        <w:rPr>
          <w:rFonts w:hint="eastAsia"/>
          <w:kern w:val="0"/>
          <w:szCs w:val="24"/>
        </w:rPr>
        <w:t>（</w:t>
      </w:r>
      <w:r w:rsidRPr="004726FD">
        <w:rPr>
          <w:rFonts w:hint="eastAsia"/>
          <w:kern w:val="0"/>
          <w:szCs w:val="24"/>
          <w:lang w:val="zh-CN"/>
        </w:rPr>
        <w:t>纵</w:t>
      </w:r>
      <w:r w:rsidRPr="004726FD">
        <w:rPr>
          <w:rFonts w:hint="eastAsia"/>
          <w:kern w:val="0"/>
          <w:szCs w:val="24"/>
        </w:rPr>
        <w:t>）”。</w:t>
      </w:r>
      <w:r w:rsidRPr="004726FD">
        <w:rPr>
          <w:rFonts w:hint="eastAsia"/>
          <w:lang w:val="zh-CN"/>
        </w:rPr>
        <w:t>《居延新简释粹》</w:t>
      </w:r>
      <w:r w:rsidRPr="004726FD">
        <w:rPr>
          <w:rFonts w:hint="eastAsia"/>
        </w:rPr>
        <w:t>认为是指剑脊，《中国碑帖名品》怀疑是指“剑身两面中央凸起的部分”，实际上说的也是剑脊。诸家都读“桁”为“行”，但始终没能解释剑脊何以称为“两行”。我们认为“行”即“行列”之“行”，《吕氏春秋·辩土》：“衡行必得，纵行必术。正其行，通其风。”高诱注：“行，行列也。”</w:t>
      </w:r>
      <w:r w:rsidRPr="004726FD">
        <w:rPr>
          <w:vertAlign w:val="superscript"/>
          <w:lang w:eastAsia="zh-TW"/>
        </w:rPr>
        <w:endnoteReference w:id="20"/>
      </w:r>
      <w:r w:rsidRPr="004726FD">
        <w:rPr>
          <w:rFonts w:hint="eastAsia"/>
        </w:rPr>
        <w:t>文中“衡”读为“横”，“术”读为“遂”，俞樾谓“衡（横）纵皆必顺其性”是也。可见不论是水平或垂直方向上的行列均得称为“行”。汉简中有一种简牍形制就以“两行”为名，《敦煌汉简》1597号有“两行二百，札四百，绳百丈”的文句，</w:t>
      </w:r>
      <w:r w:rsidRPr="004726FD">
        <w:rPr>
          <w:vertAlign w:val="superscript"/>
        </w:rPr>
        <w:endnoteReference w:id="21"/>
      </w:r>
      <w:r w:rsidRPr="004726FD">
        <w:rPr>
          <w:rFonts w:hint="eastAsia"/>
        </w:rPr>
        <w:t>与“札”并称，特指可以书写两列文字的简，这个“行”的意思同样也是纵列的“行”。</w:t>
      </w:r>
      <w:r w:rsidRPr="004726FD">
        <w:rPr>
          <w:vertAlign w:val="superscript"/>
          <w:lang w:eastAsia="zh-TW"/>
        </w:rPr>
        <w:endnoteReference w:id="22"/>
      </w:r>
      <w:r w:rsidRPr="004726FD">
        <w:rPr>
          <w:rFonts w:hint="eastAsia"/>
        </w:rPr>
        <w:t>其实非独词义，汉简“两行”与剑身在形制上也有明显的相似之处：中脊隆起、</w:t>
      </w:r>
      <w:r w:rsidRPr="004726FD">
        <w:rPr>
          <w:rFonts w:hint="eastAsia"/>
        </w:rPr>
        <w:lastRenderedPageBreak/>
        <w:t>两面倾斜、截面作等腰三角形（如图一），简文“桁”字从“木”作，似乎也透露出指向木简“两行”的消息。所以我们认为简文的“两桁”就是指形制也类似汉简“两行”的剑脊而言的。</w:t>
      </w:r>
    </w:p>
    <w:p w14:paraId="4D4318B3" w14:textId="77777777" w:rsidR="0044246D" w:rsidRPr="004726FD" w:rsidRDefault="0044246D" w:rsidP="004726FD">
      <w:pPr>
        <w:pStyle w:val="aff6"/>
        <w:ind w:firstLine="560"/>
        <w:jc w:val="center"/>
      </w:pPr>
      <w:r w:rsidRPr="004726FD">
        <w:rPr>
          <w:noProof/>
        </w:rPr>
        <w:drawing>
          <wp:inline distT="0" distB="0" distL="0" distR="0" wp14:anchorId="4F7F7F09" wp14:editId="69395A3A">
            <wp:extent cx="660400" cy="4629150"/>
            <wp:effectExtent l="0" t="0" r="635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4629150"/>
                    </a:xfrm>
                    <a:prstGeom prst="rect">
                      <a:avLst/>
                    </a:prstGeom>
                    <a:noFill/>
                    <a:ln>
                      <a:noFill/>
                    </a:ln>
                  </pic:spPr>
                </pic:pic>
              </a:graphicData>
            </a:graphic>
          </wp:inline>
        </w:drawing>
      </w:r>
    </w:p>
    <w:p w14:paraId="22175821" w14:textId="77777777" w:rsidR="0044246D" w:rsidRPr="004726FD" w:rsidRDefault="0044246D" w:rsidP="004726FD">
      <w:pPr>
        <w:pStyle w:val="aff6"/>
        <w:ind w:firstLine="560"/>
        <w:jc w:val="center"/>
      </w:pPr>
      <w:r w:rsidRPr="004726FD">
        <w:rPr>
          <w:rFonts w:hint="eastAsia"/>
        </w:rPr>
        <w:t>图一：《敦煌汉简》</w:t>
      </w:r>
      <w:r w:rsidRPr="004726FD">
        <w:rPr>
          <w:rFonts w:ascii="黑体" w:hAnsi="黑体" w:hint="eastAsia"/>
        </w:rPr>
        <w:t>1713</w:t>
      </w:r>
      <w:r w:rsidRPr="004726FD">
        <w:rPr>
          <w:rFonts w:hint="eastAsia"/>
        </w:rPr>
        <w:t>号两行</w:t>
      </w:r>
      <w:r w:rsidRPr="004726FD">
        <w:rPr>
          <w:sz w:val="20"/>
          <w:szCs w:val="20"/>
          <w:vertAlign w:val="superscript"/>
          <w:lang w:eastAsia="zh-TW"/>
        </w:rPr>
        <w:endnoteReference w:id="23"/>
      </w:r>
    </w:p>
    <w:p w14:paraId="749CC04E" w14:textId="77777777" w:rsidR="0044246D" w:rsidRPr="004726FD" w:rsidRDefault="0044246D" w:rsidP="004726FD">
      <w:pPr>
        <w:pStyle w:val="aff6"/>
        <w:ind w:firstLine="560"/>
        <w:rPr>
          <w:rFonts w:eastAsia="PMingLiU"/>
        </w:rPr>
      </w:pPr>
      <w:r w:rsidRPr="004726FD">
        <w:rPr>
          <w:rFonts w:hint="eastAsia"/>
        </w:rPr>
        <w:t>剑脊为何是黑色或偏黑的，这要从古人对青铜合金的认识说起。《吕氏春秋·别类》篇：“相剑者曰：‘白所以为坚也，黄所以为牣也，黄白杂则坚且牣，良剑也。’难者曰：‘白所以为不牣也，黄所以为不坚也，黄白杂则不坚且不牣也。又柔则锩，坚则折，剑折且锩，焉得</w:t>
      </w:r>
      <w:r w:rsidRPr="004726FD">
        <w:rPr>
          <w:rFonts w:hint="eastAsia"/>
        </w:rPr>
        <w:lastRenderedPageBreak/>
        <w:t>为利剑？’”</w:t>
      </w:r>
      <w:r w:rsidRPr="004726FD">
        <w:rPr>
          <w:vertAlign w:val="superscript"/>
        </w:rPr>
        <w:endnoteReference w:id="24"/>
      </w:r>
      <w:r w:rsidRPr="004726FD">
        <w:rPr>
          <w:rFonts w:hint="eastAsia"/>
        </w:rPr>
        <w:t>虽然强调的是辩说的无常，但保存的“相剑者曰”却十分可贵。这里提到的“白”“黄”是指锡和铜，汉代镜铭常言“幽湅白黄”等语，就是用“黄”指铜，以“白”指锡：</w:t>
      </w:r>
    </w:p>
    <w:p w14:paraId="3C8A53C4" w14:textId="77777777" w:rsidR="0044246D" w:rsidRPr="004726FD" w:rsidRDefault="0044246D" w:rsidP="004726FD">
      <w:pPr>
        <w:pStyle w:val="aff4"/>
        <w:spacing w:before="540" w:after="540"/>
        <w:ind w:firstLine="496"/>
      </w:pPr>
      <w:r w:rsidRPr="004726FD">
        <w:rPr>
          <w:rFonts w:hint="eastAsia"/>
        </w:rPr>
        <w:t>（1）熹平二年正月丙午，吾造作尚方明竟（镜），广汉西蜀，合湅（炼）白黄，周（雕）刻无极，世得光明，买人大富，长[宜]子孙，延年益寿，长乐未央兮。</w:t>
      </w:r>
      <w:r w:rsidRPr="004726FD">
        <w:rPr>
          <w:vertAlign w:val="superscript"/>
        </w:rPr>
        <w:endnoteReference w:id="25"/>
      </w:r>
    </w:p>
    <w:p w14:paraId="21BC618B" w14:textId="77777777" w:rsidR="0044246D" w:rsidRPr="004726FD" w:rsidRDefault="0044246D" w:rsidP="004726FD">
      <w:pPr>
        <w:pStyle w:val="aff4"/>
        <w:spacing w:before="540" w:after="540"/>
        <w:ind w:firstLine="496"/>
        <w:rPr>
          <w:lang w:val="zh-CN"/>
        </w:rPr>
      </w:pPr>
      <w:r w:rsidRPr="004726FD">
        <w:rPr>
          <w:rFonts w:hint="eastAsia"/>
        </w:rPr>
        <w:t>（2）</w:t>
      </w:r>
      <w:r w:rsidRPr="004726FD">
        <w:rPr>
          <w:rFonts w:hint="eastAsia"/>
          <w:lang w:val="zh-CN"/>
        </w:rPr>
        <w:t>吾作明竟（镜），幽湅（炼）三商，合湅（炼）黄白，统德序道，敬奉贤良，周（雕）刻无极，白（伯）牙奏乐，众羲主阳，圣德光明，子孙番（蕃）昌，位至侯王，其师命长。（鎏金画纹带神兽镜）</w:t>
      </w:r>
      <w:r w:rsidRPr="004726FD">
        <w:rPr>
          <w:vertAlign w:val="superscript"/>
          <w:lang w:val="zh-CN"/>
        </w:rPr>
        <w:endnoteReference w:id="26"/>
      </w:r>
    </w:p>
    <w:p w14:paraId="52F6D515" w14:textId="77777777" w:rsidR="0044246D" w:rsidRPr="004726FD" w:rsidRDefault="0044246D" w:rsidP="004726FD">
      <w:pPr>
        <w:pStyle w:val="aff4"/>
        <w:spacing w:before="540" w:after="540"/>
        <w:ind w:firstLine="496"/>
        <w:rPr>
          <w:rFonts w:eastAsia="等线"/>
          <w:lang w:val="zh-CN"/>
        </w:rPr>
      </w:pPr>
      <w:r w:rsidRPr="004726FD">
        <w:rPr>
          <w:rFonts w:hint="eastAsia"/>
          <w:lang w:val="zh-CN"/>
        </w:rPr>
        <w:t>（3）【外】建宁二年正月廿七丙午</w:t>
      </w:r>
      <w:r w:rsidRPr="004726FD">
        <w:rPr>
          <w:rFonts w:hint="eastAsia"/>
        </w:rPr>
        <w:t>，</w:t>
      </w:r>
      <w:r w:rsidRPr="004726FD">
        <w:rPr>
          <w:rFonts w:hint="eastAsia"/>
          <w:lang w:val="zh-CN"/>
        </w:rPr>
        <w:t>三羊作明镜自有方</w:t>
      </w:r>
      <w:r w:rsidRPr="004726FD">
        <w:rPr>
          <w:rFonts w:hint="eastAsia"/>
        </w:rPr>
        <w:t>，</w:t>
      </w:r>
      <w:r w:rsidRPr="004726FD">
        <w:rPr>
          <w:rFonts w:hint="eastAsia"/>
          <w:lang w:val="zh-CN"/>
        </w:rPr>
        <w:t>白同</w:t>
      </w:r>
      <w:r w:rsidRPr="004726FD">
        <w:rPr>
          <w:rFonts w:hint="eastAsia"/>
        </w:rPr>
        <w:t>（</w:t>
      </w:r>
      <w:r w:rsidRPr="004726FD">
        <w:rPr>
          <w:rFonts w:hint="eastAsia"/>
          <w:lang w:val="zh-CN"/>
        </w:rPr>
        <w:t>铜</w:t>
      </w:r>
      <w:r w:rsidRPr="004726FD">
        <w:rPr>
          <w:rFonts w:hint="eastAsia"/>
        </w:rPr>
        <w:t>）</w:t>
      </w:r>
      <w:r w:rsidRPr="004726FD">
        <w:rPr>
          <w:rFonts w:hint="eastAsia"/>
          <w:lang w:val="zh-CN"/>
        </w:rPr>
        <w:t>清明复多光</w:t>
      </w:r>
      <w:r w:rsidRPr="004726FD">
        <w:rPr>
          <w:rFonts w:hint="eastAsia"/>
        </w:rPr>
        <w:t>，</w:t>
      </w:r>
      <w:r w:rsidRPr="004726FD">
        <w:rPr>
          <w:rFonts w:hint="eastAsia"/>
          <w:lang w:val="zh-CN"/>
        </w:rPr>
        <w:t>买者大利家富昌</w:t>
      </w:r>
      <w:r w:rsidRPr="004726FD">
        <w:rPr>
          <w:rFonts w:hint="eastAsia"/>
        </w:rPr>
        <w:t>，</w:t>
      </w:r>
      <w:r w:rsidRPr="004726FD">
        <w:rPr>
          <w:rFonts w:hint="eastAsia"/>
          <w:lang w:val="zh-CN"/>
        </w:rPr>
        <w:t>十男五女为侯王</w:t>
      </w:r>
      <w:r w:rsidRPr="004726FD">
        <w:rPr>
          <w:rFonts w:hint="eastAsia"/>
        </w:rPr>
        <w:t>，</w:t>
      </w:r>
      <w:r w:rsidRPr="004726FD">
        <w:rPr>
          <w:rFonts w:hint="eastAsia"/>
          <w:lang w:val="zh-CN"/>
        </w:rPr>
        <w:t>父妪相守寿命长</w:t>
      </w:r>
      <w:r w:rsidRPr="004726FD">
        <w:rPr>
          <w:rFonts w:hint="eastAsia"/>
        </w:rPr>
        <w:t>，</w:t>
      </w:r>
      <w:r w:rsidRPr="004726FD">
        <w:rPr>
          <w:rFonts w:hint="eastAsia"/>
          <w:lang w:val="zh-CN"/>
        </w:rPr>
        <w:t>居一世间乐未央。宜侯王，乐未央。【内】长宜官，宜侯王，师命长，乐未央。（建宁二年铭变形四叶兽首镜）</w:t>
      </w:r>
      <w:r w:rsidRPr="004726FD">
        <w:rPr>
          <w:vertAlign w:val="superscript"/>
          <w:lang w:val="zh-CN"/>
        </w:rPr>
        <w:endnoteReference w:id="27"/>
      </w:r>
    </w:p>
    <w:p w14:paraId="62595A52" w14:textId="77777777" w:rsidR="0044246D" w:rsidRPr="004726FD" w:rsidRDefault="0044246D" w:rsidP="004726FD">
      <w:pPr>
        <w:pStyle w:val="aff4"/>
        <w:spacing w:before="540" w:after="540"/>
        <w:ind w:firstLine="496"/>
      </w:pPr>
      <w:r w:rsidRPr="004726FD">
        <w:rPr>
          <w:rFonts w:hint="eastAsia"/>
        </w:rPr>
        <w:t>（4）隆帝章和时，淮南龙氏作竟（镜）湅（炼）治同（铜），合会银易（锡）得和中，刻画云气龙虎虫，上有山（仙）人寿无穷，长保二亲乐不亭（停）。（章和铭龙虎镜）</w:t>
      </w:r>
      <w:r w:rsidRPr="004726FD">
        <w:rPr>
          <w:vertAlign w:val="superscript"/>
        </w:rPr>
        <w:endnoteReference w:id="28"/>
      </w:r>
    </w:p>
    <w:p w14:paraId="18EAF7DF" w14:textId="77777777" w:rsidR="0044246D" w:rsidRPr="004726FD" w:rsidRDefault="0044246D" w:rsidP="004726FD">
      <w:pPr>
        <w:pStyle w:val="aff4"/>
        <w:spacing w:before="540" w:after="540"/>
        <w:ind w:firstLine="496"/>
        <w:rPr>
          <w:rFonts w:eastAsia="PMingLiU"/>
          <w:lang w:val="zh-CN"/>
        </w:rPr>
      </w:pPr>
      <w:r w:rsidRPr="004726FD">
        <w:rPr>
          <w:rFonts w:hint="eastAsia"/>
        </w:rPr>
        <w:t>（5）</w:t>
      </w:r>
      <w:r w:rsidRPr="004726FD">
        <w:rPr>
          <w:rFonts w:hint="eastAsia"/>
          <w:lang w:val="zh-CN"/>
        </w:rPr>
        <w:t>清练</w:t>
      </w:r>
      <w:r w:rsidRPr="004726FD">
        <w:rPr>
          <w:rFonts w:hint="eastAsia"/>
        </w:rPr>
        <w:t>（</w:t>
      </w:r>
      <w:r w:rsidRPr="004726FD">
        <w:rPr>
          <w:rFonts w:hint="eastAsia"/>
          <w:lang w:val="zh-CN"/>
        </w:rPr>
        <w:t>炼</w:t>
      </w:r>
      <w:r w:rsidRPr="004726FD">
        <w:rPr>
          <w:rFonts w:hint="eastAsia"/>
        </w:rPr>
        <w:t>）</w:t>
      </w:r>
      <w:r w:rsidRPr="004726FD">
        <w:rPr>
          <w:rFonts w:hint="eastAsia"/>
          <w:lang w:val="zh-CN"/>
        </w:rPr>
        <w:t>铜华</w:t>
      </w:r>
      <w:r w:rsidRPr="004726FD">
        <w:rPr>
          <w:rFonts w:hint="eastAsia"/>
        </w:rPr>
        <w:t>，</w:t>
      </w:r>
      <w:r w:rsidRPr="004726FD">
        <w:rPr>
          <w:rFonts w:hint="eastAsia"/>
          <w:lang w:val="zh-CN"/>
        </w:rPr>
        <w:t>杂锡银黄</w:t>
      </w:r>
      <w:r w:rsidRPr="004726FD">
        <w:rPr>
          <w:rFonts w:hint="eastAsia"/>
        </w:rPr>
        <w:t>，</w:t>
      </w:r>
      <w:r w:rsidRPr="004726FD">
        <w:rPr>
          <w:rFonts w:hint="eastAsia"/>
          <w:lang w:val="zh-CN"/>
        </w:rPr>
        <w:t>以成明镜</w:t>
      </w:r>
      <w:r w:rsidRPr="004726FD">
        <w:rPr>
          <w:rFonts w:hint="eastAsia"/>
        </w:rPr>
        <w:t>，</w:t>
      </w:r>
      <w:r w:rsidRPr="004726FD">
        <w:rPr>
          <w:rFonts w:hint="eastAsia"/>
          <w:lang w:val="zh-CN"/>
        </w:rPr>
        <w:t>令名文章</w:t>
      </w:r>
      <w:r w:rsidRPr="004726FD">
        <w:rPr>
          <w:rFonts w:hint="eastAsia"/>
        </w:rPr>
        <w:t>，</w:t>
      </w:r>
      <w:r w:rsidRPr="004726FD">
        <w:rPr>
          <w:rFonts w:hint="eastAsia"/>
          <w:lang w:val="zh-CN"/>
        </w:rPr>
        <w:t>延年益寿</w:t>
      </w:r>
      <w:r w:rsidRPr="004726FD">
        <w:rPr>
          <w:rFonts w:hint="eastAsia"/>
        </w:rPr>
        <w:t>，</w:t>
      </w:r>
      <w:r w:rsidRPr="004726FD">
        <w:rPr>
          <w:rFonts w:hint="eastAsia"/>
          <w:lang w:val="zh-CN"/>
        </w:rPr>
        <w:lastRenderedPageBreak/>
        <w:t>长乐未央</w:t>
      </w:r>
      <w:r w:rsidRPr="004726FD">
        <w:rPr>
          <w:rFonts w:hint="eastAsia"/>
        </w:rPr>
        <w:t>，</w:t>
      </w:r>
      <w:r w:rsidRPr="004726FD">
        <w:rPr>
          <w:rFonts w:hint="eastAsia"/>
          <w:lang w:val="zh-CN"/>
        </w:rPr>
        <w:t>寿敝金石</w:t>
      </w:r>
      <w:r w:rsidRPr="004726FD">
        <w:rPr>
          <w:rFonts w:hint="eastAsia"/>
        </w:rPr>
        <w:t>，</w:t>
      </w:r>
      <w:r w:rsidRPr="004726FD">
        <w:rPr>
          <w:rFonts w:hint="eastAsia"/>
          <w:lang w:val="zh-CN"/>
        </w:rPr>
        <w:t>与天为常</w:t>
      </w:r>
      <w:r w:rsidRPr="004726FD">
        <w:rPr>
          <w:rFonts w:hint="eastAsia"/>
        </w:rPr>
        <w:t>，</w:t>
      </w:r>
      <w:r w:rsidRPr="004726FD">
        <w:rPr>
          <w:rFonts w:hint="eastAsia"/>
          <w:lang w:val="zh-CN"/>
        </w:rPr>
        <w:t>善哉毋伤。（铜华铭圈带镜）</w:t>
      </w:r>
      <w:r w:rsidRPr="004726FD">
        <w:rPr>
          <w:vertAlign w:val="superscript"/>
          <w:lang w:val="zh-CN"/>
        </w:rPr>
        <w:endnoteReference w:id="29"/>
      </w:r>
    </w:p>
    <w:p w14:paraId="0933F810" w14:textId="77777777" w:rsidR="0044246D" w:rsidRPr="004726FD" w:rsidRDefault="0044246D" w:rsidP="004726FD">
      <w:pPr>
        <w:pStyle w:val="aff4"/>
        <w:spacing w:before="540" w:after="540"/>
        <w:ind w:firstLine="496"/>
        <w:rPr>
          <w:rFonts w:eastAsia="等线"/>
        </w:rPr>
      </w:pPr>
      <w:r w:rsidRPr="004726FD">
        <w:rPr>
          <w:rFonts w:hint="eastAsia"/>
          <w:lang w:val="zh-CN"/>
        </w:rPr>
        <w:t>（6）【外】作佳镜才</w:t>
      </w:r>
      <w:r w:rsidRPr="004726FD">
        <w:rPr>
          <w:rFonts w:hint="eastAsia"/>
        </w:rPr>
        <w:t>（</w:t>
      </w:r>
      <w:r w:rsidRPr="004726FD">
        <w:rPr>
          <w:rFonts w:hint="eastAsia"/>
          <w:lang w:val="zh-CN"/>
        </w:rPr>
        <w:t>哉</w:t>
      </w:r>
      <w:r w:rsidRPr="004726FD">
        <w:rPr>
          <w:rFonts w:hint="eastAsia"/>
        </w:rPr>
        <w:t>）</w:t>
      </w:r>
      <w:r w:rsidRPr="004726FD">
        <w:rPr>
          <w:rFonts w:hint="eastAsia"/>
          <w:lang w:val="zh-CN"/>
        </w:rPr>
        <w:t>真大兰</w:t>
      </w:r>
      <w:r w:rsidRPr="004726FD">
        <w:rPr>
          <w:rFonts w:hint="eastAsia"/>
        </w:rPr>
        <w:t>（</w:t>
      </w:r>
      <w:r w:rsidRPr="004726FD">
        <w:rPr>
          <w:rFonts w:hint="eastAsia"/>
          <w:lang w:val="zh-CN"/>
        </w:rPr>
        <w:t>闲</w:t>
      </w:r>
      <w:r w:rsidRPr="004726FD">
        <w:rPr>
          <w:rFonts w:hint="eastAsia"/>
        </w:rPr>
        <w:t>）</w:t>
      </w:r>
      <w:r w:rsidRPr="004726FD">
        <w:rPr>
          <w:rFonts w:eastAsia="等线" w:hint="eastAsia"/>
        </w:rPr>
        <w:t>，</w:t>
      </w:r>
      <w:r w:rsidRPr="004726FD">
        <w:rPr>
          <w:rFonts w:hint="eastAsia"/>
          <w:lang w:val="zh-CN"/>
        </w:rPr>
        <w:t>上有芩</w:t>
      </w:r>
      <w:r w:rsidRPr="004726FD">
        <w:rPr>
          <w:rFonts w:hint="eastAsia"/>
        </w:rPr>
        <w:t>（</w:t>
      </w:r>
      <w:r w:rsidRPr="004726FD">
        <w:rPr>
          <w:rFonts w:hint="eastAsia"/>
          <w:lang w:val="zh-CN"/>
        </w:rPr>
        <w:t>禽</w:t>
      </w:r>
      <w:r w:rsidRPr="004726FD">
        <w:rPr>
          <w:rFonts w:hint="eastAsia"/>
        </w:rPr>
        <w:t>）</w:t>
      </w:r>
      <w:r w:rsidRPr="004726FD">
        <w:rPr>
          <w:rFonts w:hint="eastAsia"/>
          <w:lang w:val="zh-CN"/>
        </w:rPr>
        <w:t>守</w:t>
      </w:r>
      <w:r w:rsidRPr="004726FD">
        <w:rPr>
          <w:rFonts w:hint="eastAsia"/>
        </w:rPr>
        <w:t>（</w:t>
      </w:r>
      <w:r w:rsidRPr="004726FD">
        <w:rPr>
          <w:rFonts w:hint="eastAsia"/>
          <w:lang w:val="zh-CN"/>
        </w:rPr>
        <w:t>兽</w:t>
      </w:r>
      <w:r w:rsidRPr="004726FD">
        <w:rPr>
          <w:rFonts w:hint="eastAsia"/>
        </w:rPr>
        <w:t>）</w:t>
      </w:r>
      <w:r w:rsidRPr="004726FD">
        <w:rPr>
          <w:rFonts w:hint="eastAsia"/>
          <w:lang w:val="zh-CN"/>
        </w:rPr>
        <w:t>相因连</w:t>
      </w:r>
      <w:r w:rsidRPr="004726FD">
        <w:rPr>
          <w:rFonts w:hint="eastAsia"/>
        </w:rPr>
        <w:t>，</w:t>
      </w:r>
      <w:r w:rsidRPr="004726FD">
        <w:rPr>
          <w:rFonts w:hint="eastAsia"/>
          <w:lang w:val="zh-CN"/>
        </w:rPr>
        <w:t>湅</w:t>
      </w:r>
      <w:r w:rsidRPr="004726FD">
        <w:rPr>
          <w:rFonts w:hint="eastAsia"/>
        </w:rPr>
        <w:t>（</w:t>
      </w:r>
      <w:r w:rsidRPr="004726FD">
        <w:rPr>
          <w:rFonts w:hint="eastAsia"/>
          <w:lang w:val="zh-CN"/>
        </w:rPr>
        <w:t>炼</w:t>
      </w:r>
      <w:r w:rsidRPr="004726FD">
        <w:rPr>
          <w:rFonts w:hint="eastAsia"/>
        </w:rPr>
        <w:t>）</w:t>
      </w:r>
      <w:r w:rsidRPr="004726FD">
        <w:rPr>
          <w:rFonts w:hint="eastAsia"/>
          <w:lang w:val="zh-CN"/>
        </w:rPr>
        <w:t>治铜锡自生文</w:t>
      </w:r>
      <w:r w:rsidRPr="004726FD">
        <w:rPr>
          <w:rFonts w:hint="eastAsia"/>
        </w:rPr>
        <w:t>，</w:t>
      </w:r>
      <w:r w:rsidRPr="004726FD">
        <w:rPr>
          <w:rFonts w:hint="eastAsia"/>
          <w:lang w:val="zh-CN"/>
        </w:rPr>
        <w:t>昭</w:t>
      </w:r>
      <w:r w:rsidRPr="004726FD">
        <w:rPr>
          <w:rFonts w:hint="eastAsia"/>
        </w:rPr>
        <w:t>（</w:t>
      </w:r>
      <w:r w:rsidRPr="004726FD">
        <w:rPr>
          <w:rFonts w:hint="eastAsia"/>
          <w:lang w:val="zh-CN"/>
        </w:rPr>
        <w:t>照</w:t>
      </w:r>
      <w:r w:rsidRPr="004726FD">
        <w:rPr>
          <w:rFonts w:hint="eastAsia"/>
        </w:rPr>
        <w:t>）</w:t>
      </w:r>
      <w:r w:rsidRPr="004726FD">
        <w:rPr>
          <w:rFonts w:hint="eastAsia"/>
          <w:lang w:val="zh-CN"/>
        </w:rPr>
        <w:t>君面目白黑分</w:t>
      </w:r>
      <w:r w:rsidRPr="004726FD">
        <w:rPr>
          <w:rFonts w:hint="eastAsia"/>
        </w:rPr>
        <w:t>，</w:t>
      </w:r>
      <w:r w:rsidRPr="004726FD">
        <w:rPr>
          <w:rFonts w:hint="eastAsia"/>
          <w:lang w:val="zh-CN"/>
        </w:rPr>
        <w:t>大夫欲市入臣门</w:t>
      </w:r>
      <w:r w:rsidRPr="004726FD">
        <w:rPr>
          <w:rFonts w:hint="eastAsia"/>
        </w:rPr>
        <w:t>，</w:t>
      </w:r>
      <w:r w:rsidRPr="004726FD">
        <w:rPr>
          <w:rFonts w:hint="eastAsia"/>
          <w:lang w:val="zh-CN"/>
        </w:rPr>
        <w:t>不争贾</w:t>
      </w:r>
      <w:r w:rsidRPr="004726FD">
        <w:rPr>
          <w:rFonts w:hint="eastAsia"/>
        </w:rPr>
        <w:t>（</w:t>
      </w:r>
      <w:r w:rsidRPr="004726FD">
        <w:rPr>
          <w:rFonts w:hint="eastAsia"/>
          <w:lang w:val="zh-CN"/>
        </w:rPr>
        <w:t>价</w:t>
      </w:r>
      <w:r w:rsidRPr="004726FD">
        <w:rPr>
          <w:rFonts w:hint="eastAsia"/>
        </w:rPr>
        <w:t>）</w:t>
      </w:r>
      <w:r w:rsidRPr="004726FD">
        <w:rPr>
          <w:rFonts w:hint="eastAsia"/>
          <w:lang w:val="zh-CN"/>
        </w:rPr>
        <w:t>直</w:t>
      </w:r>
      <w:r w:rsidRPr="004726FD">
        <w:rPr>
          <w:rFonts w:hint="eastAsia"/>
        </w:rPr>
        <w:t>（</w:t>
      </w:r>
      <w:r w:rsidRPr="004726FD">
        <w:rPr>
          <w:rFonts w:hint="eastAsia"/>
          <w:lang w:val="zh-CN"/>
        </w:rPr>
        <w:t>值</w:t>
      </w:r>
      <w:r w:rsidRPr="004726FD">
        <w:rPr>
          <w:rFonts w:hint="eastAsia"/>
        </w:rPr>
        <w:t>）</w:t>
      </w:r>
      <w:r w:rsidRPr="004726FD">
        <w:rPr>
          <w:rFonts w:hint="eastAsia"/>
          <w:lang w:val="zh-CN"/>
        </w:rPr>
        <w:t>贵其恩。【内】子丑寅卯辰巳午未申酉戌亥。</w:t>
      </w:r>
      <w:r w:rsidRPr="004726FD">
        <w:rPr>
          <w:vertAlign w:val="superscript"/>
          <w:lang w:val="zh-CN"/>
        </w:rPr>
        <w:endnoteReference w:id="30"/>
      </w:r>
    </w:p>
    <w:p w14:paraId="29C02D52" w14:textId="77777777" w:rsidR="0044246D" w:rsidRPr="004726FD" w:rsidRDefault="0044246D" w:rsidP="004726FD">
      <w:pPr>
        <w:pStyle w:val="aff4"/>
        <w:spacing w:before="540" w:after="540"/>
        <w:ind w:firstLine="496"/>
      </w:pPr>
      <w:r w:rsidRPr="004726FD">
        <w:rPr>
          <w:rFonts w:hint="eastAsia"/>
        </w:rPr>
        <w:t>（7）【外】新有善铜出南乡，巧工调湅（炼）清黄色，尚方用竟（镜）四夷服，多贺王氏天下复，官位尊显蒙禄食，幸逢时年五谷孰（熟），长保二亲子孙力，传之后世乐毋极。【内】子丑寅卯辰巳午未申酉戌亥。</w:t>
      </w:r>
      <w:r w:rsidRPr="004726FD">
        <w:rPr>
          <w:vertAlign w:val="superscript"/>
        </w:rPr>
        <w:endnoteReference w:id="31"/>
      </w:r>
    </w:p>
    <w:p w14:paraId="4C975C69" w14:textId="77777777" w:rsidR="0044246D" w:rsidRPr="004726FD" w:rsidRDefault="0044246D" w:rsidP="004726FD">
      <w:pPr>
        <w:pStyle w:val="aff5"/>
        <w:rPr>
          <w:rFonts w:eastAsia="PMingLiU"/>
        </w:rPr>
      </w:pPr>
      <w:r w:rsidRPr="004726FD">
        <w:rPr>
          <w:rFonts w:hint="eastAsia"/>
        </w:rPr>
        <w:t>“银锡”是形容锡如银一般白，“白铜”同样也是表现铜锡合金中锡的作用。《考工记·攻金之工》郑注“凡金多锡，则刃白且明”</w:t>
      </w:r>
      <w:r w:rsidRPr="004726FD">
        <w:rPr>
          <w:vertAlign w:val="superscript"/>
          <w:lang w:eastAsia="zh-TW"/>
        </w:rPr>
        <w:endnoteReference w:id="32"/>
      </w:r>
      <w:r w:rsidRPr="004726FD">
        <w:rPr>
          <w:rFonts w:hint="eastAsia"/>
        </w:rPr>
        <w:t>是也。</w:t>
      </w:r>
    </w:p>
    <w:p w14:paraId="65C0F5C5" w14:textId="77777777" w:rsidR="0044246D" w:rsidRPr="004726FD" w:rsidRDefault="0044246D" w:rsidP="004726FD">
      <w:pPr>
        <w:pStyle w:val="aff6"/>
        <w:ind w:firstLine="560"/>
        <w:rPr>
          <w:rFonts w:eastAsia="PMingLiU"/>
        </w:rPr>
      </w:pPr>
      <w:r w:rsidRPr="004726FD">
        <w:rPr>
          <w:rFonts w:hint="eastAsia"/>
        </w:rPr>
        <w:t>如上揭《吕氏春秋》相剑者言，锡的硬度高而柔韧不足，铜的韧性好却不够坚硬，古人早已掌握了两种金属的性质并将其运用于武器制作中。传世和出土的东周铜剑中有一种复合剑，以含锡低的青铜铸剑脊部分，柔韧不易折断；以含锡高的青铜铸剑刃部分，坚硬而锋利。整体看来，剑脊发暗而剑刃泛白，故又称“双色剑”或“插心剑”。著名的复合剑如故宫博物院藏少虡剑（图二）、古越阁藏越王州句剑，都是制作精良、冠绝当时的宝剑。以上海博物馆藏东周时期青铜复合</w:t>
      </w:r>
      <w:r w:rsidRPr="004726FD">
        <w:rPr>
          <w:rFonts w:hint="eastAsia"/>
        </w:rPr>
        <w:lastRenderedPageBreak/>
        <w:t>剑残段为例，研究者在岛津SXF-1200X射线荧光光谱仪上对剑从与剑脊部位铜、锡含量分别作了非破坏性半定量分析，结果显示剑从部分含铜69.7543%，含锡25.6740%；剑脊部分含铜80.5534%，含锡17.4174%，</w:t>
      </w:r>
      <w:r w:rsidRPr="004726FD">
        <w:rPr>
          <w:vertAlign w:val="superscript"/>
        </w:rPr>
        <w:endnoteReference w:id="33"/>
      </w:r>
      <w:r w:rsidRPr="004726FD">
        <w:rPr>
          <w:rFonts w:hint="eastAsia"/>
        </w:rPr>
        <w:t>与古书的记载相合。简文“白坚”指的正是复合剑的剑刃，“黑坚”则是指剑脊。需要注意“黑”并不是绝对意义上的黑色，而是与“白”相应的对称。</w:t>
      </w:r>
    </w:p>
    <w:p w14:paraId="36A1674D" w14:textId="77777777" w:rsidR="0044246D" w:rsidRPr="004726FD" w:rsidRDefault="0044246D" w:rsidP="004726FD">
      <w:pPr>
        <w:keepNext/>
        <w:spacing w:line="360" w:lineRule="auto"/>
        <w:jc w:val="center"/>
        <w:rPr>
          <w:rFonts w:cs="Arial"/>
        </w:rPr>
      </w:pPr>
      <w:r w:rsidRPr="004726FD">
        <w:rPr>
          <w:rFonts w:cs="Arial"/>
          <w:noProof/>
        </w:rPr>
        <w:drawing>
          <wp:inline distT="0" distB="0" distL="0" distR="0" wp14:anchorId="58475ABB" wp14:editId="447094D8">
            <wp:extent cx="4235450" cy="2800350"/>
            <wp:effectExtent l="0" t="0" r="0" b="0"/>
            <wp:docPr id="7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450" cy="2800350"/>
                    </a:xfrm>
                    <a:prstGeom prst="rect">
                      <a:avLst/>
                    </a:prstGeom>
                    <a:noFill/>
                    <a:ln>
                      <a:noFill/>
                    </a:ln>
                  </pic:spPr>
                </pic:pic>
              </a:graphicData>
            </a:graphic>
          </wp:inline>
        </w:drawing>
      </w:r>
    </w:p>
    <w:p w14:paraId="6904BB8E" w14:textId="77777777" w:rsidR="0044246D" w:rsidRPr="004726FD" w:rsidRDefault="0044246D" w:rsidP="004726FD">
      <w:pPr>
        <w:pStyle w:val="aff5"/>
        <w:jc w:val="center"/>
        <w:rPr>
          <w:rFonts w:eastAsia="PMingLiU"/>
          <w:sz w:val="20"/>
          <w:szCs w:val="20"/>
        </w:rPr>
      </w:pPr>
      <w:r w:rsidRPr="004726FD">
        <w:rPr>
          <w:rFonts w:hint="eastAsia"/>
        </w:rPr>
        <w:t>图二：故宫博物院藏少虡剑</w:t>
      </w:r>
      <w:r w:rsidRPr="004726FD">
        <w:rPr>
          <w:rFonts w:eastAsia="PMingLiU"/>
          <w:sz w:val="20"/>
          <w:szCs w:val="20"/>
          <w:vertAlign w:val="superscript"/>
          <w:lang w:eastAsia="zh-TW"/>
        </w:rPr>
        <w:endnoteReference w:id="34"/>
      </w:r>
    </w:p>
    <w:p w14:paraId="759C1478" w14:textId="77777777" w:rsidR="0044246D" w:rsidRPr="004726FD" w:rsidRDefault="0044246D" w:rsidP="004726FD">
      <w:pPr>
        <w:pStyle w:val="aff6"/>
        <w:ind w:firstLine="560"/>
        <w:rPr>
          <w:rFonts w:eastAsia="PMingLiU"/>
        </w:rPr>
      </w:pPr>
      <w:r w:rsidRPr="004726FD">
        <w:rPr>
          <w:rFonts w:hint="eastAsia"/>
        </w:rPr>
        <w:t>“其逢如不见”，简文中有两处“逢”、一处“㷭”，前人都读为“锋”，但至少有两点引起我们的怀疑。一是“其”的指代。如读为“锋”，则“其”指剑，简文上句谈剑脊，一变而转向剑锋，显得十分突兀。二是“逢”与“白坚”的相对。简文言“白坚未至逢”，可知“逢”与“白坚”并非一处。《居延汉简〈相剑刀〉册初探》为了弥缝</w:t>
      </w:r>
      <w:r w:rsidRPr="004726FD">
        <w:rPr>
          <w:rFonts w:hint="eastAsia"/>
        </w:rPr>
        <w:lastRenderedPageBreak/>
        <w:t>其说只好解释为剑锋磕碰最多、要求更多的韧性。但为此使剑的前端长达三分之一的长度放弃硬度，未免太不合理。此外即便是剑身加长，剑锋亦不至于达到看不见的程度。</w:t>
      </w:r>
    </w:p>
    <w:p w14:paraId="7FCA3048" w14:textId="77777777" w:rsidR="0044246D" w:rsidRPr="004726FD" w:rsidRDefault="0044246D" w:rsidP="004726FD">
      <w:pPr>
        <w:pStyle w:val="aff6"/>
        <w:ind w:firstLine="560"/>
      </w:pPr>
      <w:r w:rsidRPr="004726FD">
        <w:rPr>
          <w:rFonts w:hint="eastAsia"/>
        </w:rPr>
        <w:t>笔者认为，“其逢如不见”是承接“黑两桁不绝者”的，“其”就指“黑两桁”。“逢”读为“缝”。《礼记·玉藻》“逢齐倍要”，郑注：“缝或为逢。”</w:t>
      </w:r>
      <w:r w:rsidRPr="004726FD">
        <w:rPr>
          <w:vertAlign w:val="superscript"/>
          <w:lang w:eastAsia="zh-TW"/>
        </w:rPr>
        <w:endnoteReference w:id="35"/>
      </w:r>
      <w:r w:rsidRPr="004726FD">
        <w:rPr>
          <w:rFonts w:hint="eastAsia"/>
        </w:rPr>
        <w:t>《礼记·儒行》“衣逢掖之衣”，《后汉书·儒林传》章怀注作“缝掖之衣”</w:t>
      </w:r>
      <w:r w:rsidRPr="004726FD">
        <w:rPr>
          <w:vertAlign w:val="superscript"/>
          <w:lang w:eastAsia="zh-TW"/>
        </w:rPr>
        <w:endnoteReference w:id="36"/>
      </w:r>
      <w:r w:rsidRPr="004726FD">
        <w:rPr>
          <w:rFonts w:hint="eastAsia"/>
        </w:rPr>
        <w:t>。《广雅·释诂》：“缝，合也。”</w:t>
      </w:r>
      <w:r w:rsidRPr="004726FD">
        <w:rPr>
          <w:vertAlign w:val="superscript"/>
          <w:lang w:eastAsia="zh-TW"/>
        </w:rPr>
        <w:endnoteReference w:id="37"/>
      </w:r>
      <w:r w:rsidRPr="004726FD">
        <w:rPr>
          <w:rFonts w:hint="eastAsia"/>
        </w:rPr>
        <w:t>“缝”本来是指把两部分缝到一起，故两部分之间也可称缝。《礼记·檀弓上》：“古者冠缩缝，今也衡缝。”</w:t>
      </w:r>
      <w:r w:rsidRPr="004726FD">
        <w:rPr>
          <w:vertAlign w:val="superscript"/>
        </w:rPr>
        <w:endnoteReference w:id="38"/>
      </w:r>
      <w:r w:rsidRPr="004726FD">
        <w:rPr>
          <w:rFonts w:hint="eastAsia"/>
        </w:rPr>
        <w:t>字又作“綘”，见《集韵》。</w:t>
      </w:r>
      <w:r w:rsidRPr="004726FD">
        <w:rPr>
          <w:vertAlign w:val="superscript"/>
          <w:lang w:eastAsia="zh-TW"/>
        </w:rPr>
        <w:endnoteReference w:id="39"/>
      </w:r>
      <w:r w:rsidRPr="004726FD">
        <w:rPr>
          <w:rFonts w:hint="eastAsia"/>
        </w:rPr>
        <w:t>我们怀疑“缝”是指含锡低的青铜剑脊部分和含锡高的青铜剑刃部分之间的相交之处。“其逢（缝）如不见”，是说两部分相交处融合得好，几乎看不出来。“视白坚未至逢（缝）三分所而絶”，是说“白坚”部分距离“黑坚”部分不到三分之处就断了。</w:t>
      </w:r>
    </w:p>
    <w:p w14:paraId="6F1E930F" w14:textId="77777777" w:rsidR="0044246D" w:rsidRDefault="0044246D" w:rsidP="004726FD">
      <w:pPr>
        <w:pStyle w:val="aff6"/>
        <w:ind w:firstLine="560"/>
      </w:pPr>
      <w:r w:rsidRPr="004726FD">
        <w:rPr>
          <w:rFonts w:hint="eastAsia"/>
        </w:rPr>
        <w:t>上海博物馆藏有两件青铜复合剑（图三、四），其一（标为1号）为素面，其二（标为2号）表面尚经其他涂层工艺处理。如不仔细端详，两剑的接缝处确实不易察见。2号剑表的金色涂层虽提示了接缝所在，但就其平整度而言，也很难看出剑身系两次铸造而成。同类的例子还有越王州句剑（图五），表面“光滑平润”，</w:t>
      </w:r>
      <w:r w:rsidRPr="004726FD">
        <w:rPr>
          <w:vertAlign w:val="superscript"/>
        </w:rPr>
        <w:endnoteReference w:id="40"/>
      </w:r>
      <w:r w:rsidRPr="004726FD">
        <w:rPr>
          <w:rFonts w:hint="eastAsia"/>
        </w:rPr>
        <w:t>融合之自然令人</w:t>
      </w:r>
      <w:r w:rsidRPr="004726FD">
        <w:rPr>
          <w:rFonts w:hint="eastAsia"/>
        </w:rPr>
        <w:lastRenderedPageBreak/>
        <w:t>称叹。</w:t>
      </w:r>
    </w:p>
    <w:p w14:paraId="66FEA0C0" w14:textId="0AC2D2D3" w:rsidR="0044246D" w:rsidRPr="004726FD" w:rsidRDefault="0044246D" w:rsidP="004726FD">
      <w:pPr>
        <w:pStyle w:val="aff5"/>
        <w:jc w:val="center"/>
        <w:rPr>
          <w:rFonts w:eastAsia="PMingLiU"/>
        </w:rPr>
      </w:pPr>
      <w:r w:rsidRPr="004726FD">
        <w:rPr>
          <w:noProof/>
        </w:rPr>
        <w:drawing>
          <wp:inline distT="0" distB="0" distL="0" distR="0" wp14:anchorId="2E0B054D" wp14:editId="77D724D9">
            <wp:extent cx="2559050" cy="1917700"/>
            <wp:effectExtent l="0" t="0" r="0" b="635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050" cy="1917700"/>
                    </a:xfrm>
                    <a:prstGeom prst="rect">
                      <a:avLst/>
                    </a:prstGeom>
                    <a:noFill/>
                    <a:ln>
                      <a:noFill/>
                    </a:ln>
                  </pic:spPr>
                </pic:pic>
              </a:graphicData>
            </a:graphic>
          </wp:inline>
        </w:drawing>
      </w:r>
    </w:p>
    <w:p w14:paraId="7010EB42" w14:textId="22E6F116" w:rsidR="0044246D" w:rsidRDefault="0044246D" w:rsidP="004726FD">
      <w:pPr>
        <w:pStyle w:val="aff5"/>
        <w:jc w:val="center"/>
      </w:pPr>
      <w:r w:rsidRPr="004726FD">
        <w:rPr>
          <w:rFonts w:hint="eastAsia"/>
        </w:rPr>
        <w:t>图三：上海博物馆藏青铜复合剑（一）</w:t>
      </w:r>
    </w:p>
    <w:p w14:paraId="24DC51E0" w14:textId="333DC675" w:rsidR="0044246D" w:rsidRDefault="0044246D" w:rsidP="004726FD">
      <w:pPr>
        <w:pStyle w:val="aff5"/>
        <w:jc w:val="center"/>
      </w:pPr>
      <w:r w:rsidRPr="004726FD">
        <w:rPr>
          <w:rFonts w:cs="Arial"/>
          <w:noProof/>
        </w:rPr>
        <w:drawing>
          <wp:inline distT="0" distB="0" distL="0" distR="0" wp14:anchorId="63F3464D" wp14:editId="06DCE2F9">
            <wp:extent cx="2571750" cy="1930400"/>
            <wp:effectExtent l="0" t="0" r="0" b="0"/>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noFill/>
                    <a:ln>
                      <a:noFill/>
                    </a:ln>
                  </pic:spPr>
                </pic:pic>
              </a:graphicData>
            </a:graphic>
          </wp:inline>
        </w:drawing>
      </w:r>
    </w:p>
    <w:p w14:paraId="5169E07B" w14:textId="541E2E20" w:rsidR="0044246D" w:rsidRPr="004726FD" w:rsidRDefault="0044246D" w:rsidP="004726FD">
      <w:pPr>
        <w:pStyle w:val="aff5"/>
        <w:jc w:val="center"/>
      </w:pPr>
      <w:r w:rsidRPr="004726FD">
        <w:rPr>
          <w:rFonts w:hint="eastAsia"/>
        </w:rPr>
        <w:t>图四：上海博物馆藏青铜复合剑（二）</w:t>
      </w:r>
      <w:r w:rsidRPr="004726FD">
        <w:rPr>
          <w:rFonts w:eastAsia="等线"/>
          <w:vertAlign w:val="superscript"/>
        </w:rPr>
        <w:endnoteReference w:id="41"/>
      </w:r>
    </w:p>
    <w:p w14:paraId="65D5BCC0" w14:textId="77777777" w:rsidR="0044246D" w:rsidRPr="004726FD" w:rsidRDefault="0044246D" w:rsidP="004726FD">
      <w:pPr>
        <w:keepNext/>
        <w:spacing w:line="360" w:lineRule="auto"/>
        <w:jc w:val="center"/>
        <w:rPr>
          <w:rFonts w:cs="Arial"/>
        </w:rPr>
      </w:pPr>
      <w:r w:rsidRPr="004726FD">
        <w:rPr>
          <w:rFonts w:cs="Arial"/>
          <w:noProof/>
        </w:rPr>
        <w:drawing>
          <wp:inline distT="0" distB="0" distL="0" distR="0" wp14:anchorId="5797E858" wp14:editId="79B954CD">
            <wp:extent cx="3517900" cy="1828800"/>
            <wp:effectExtent l="0" t="0" r="6350" b="0"/>
            <wp:docPr id="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0" cy="1828800"/>
                    </a:xfrm>
                    <a:prstGeom prst="rect">
                      <a:avLst/>
                    </a:prstGeom>
                    <a:noFill/>
                    <a:ln>
                      <a:noFill/>
                    </a:ln>
                  </pic:spPr>
                </pic:pic>
              </a:graphicData>
            </a:graphic>
          </wp:inline>
        </w:drawing>
      </w:r>
    </w:p>
    <w:p w14:paraId="53B70B6F" w14:textId="77777777" w:rsidR="0044246D" w:rsidRPr="004726FD" w:rsidRDefault="0044246D" w:rsidP="004726FD">
      <w:pPr>
        <w:pStyle w:val="aff5"/>
        <w:jc w:val="center"/>
      </w:pPr>
      <w:r w:rsidRPr="004726FD">
        <w:rPr>
          <w:rFonts w:hint="eastAsia"/>
        </w:rPr>
        <w:t>图五：越王州句剑</w:t>
      </w:r>
      <w:r w:rsidRPr="004726FD">
        <w:rPr>
          <w:rFonts w:eastAsia="PMingLiU"/>
          <w:vertAlign w:val="superscript"/>
          <w:lang w:eastAsia="zh-TW"/>
        </w:rPr>
        <w:endnoteReference w:id="42"/>
      </w:r>
    </w:p>
    <w:p w14:paraId="303E7A91" w14:textId="77777777" w:rsidR="0044246D" w:rsidRPr="004726FD" w:rsidRDefault="0044246D" w:rsidP="004726FD">
      <w:pPr>
        <w:pStyle w:val="aff6"/>
        <w:ind w:firstLine="560"/>
        <w:rPr>
          <w:rFonts w:eastAsia="PMingLiU"/>
        </w:rPr>
      </w:pPr>
      <w:r w:rsidRPr="004726FD">
        <w:rPr>
          <w:rFonts w:hint="eastAsia"/>
        </w:rPr>
        <w:t>要求复合剑的接缝“如不见”，并非是单纯出于美观的考虑。上</w:t>
      </w:r>
      <w:r w:rsidRPr="004726FD">
        <w:rPr>
          <w:rFonts w:hint="eastAsia"/>
        </w:rPr>
        <w:lastRenderedPageBreak/>
        <w:t>海博物馆曾观察一复合剑残段</w:t>
      </w:r>
      <w:r w:rsidRPr="004726FD">
        <w:rPr>
          <w:rFonts w:hint="eastAsia"/>
          <w:lang w:val="zh-CN"/>
        </w:rPr>
        <w:t>剑从与剑脊结合面的放大相（</w:t>
      </w:r>
      <w:r w:rsidRPr="004726FD">
        <w:rPr>
          <w:rFonts w:hint="eastAsia"/>
          <w:lang w:val="zh-CN" w:eastAsia="zh-TW"/>
        </w:rPr>
        <w:t>200</w:t>
      </w:r>
      <w:r w:rsidRPr="004726FD">
        <w:rPr>
          <w:rFonts w:hint="eastAsia"/>
          <w:lang w:val="zh-CN"/>
        </w:rPr>
        <w:t>倍），发现由于二次铸造时在剑从与剑脊的交界处形成一条冷隔线</w:t>
      </w:r>
      <w:r w:rsidRPr="004726FD">
        <w:rPr>
          <w:rFonts w:hint="eastAsia"/>
        </w:rPr>
        <w:t>，</w:t>
      </w:r>
      <w:r w:rsidRPr="004726FD">
        <w:rPr>
          <w:rFonts w:hint="eastAsia"/>
          <w:lang w:val="zh-CN"/>
        </w:rPr>
        <w:t>使腐蚀介质能沿冷隔线渗入结合面的内部，且剑从的腐蚀程度高于剑脊，腐蚀产物主要为自由铜的沉积。</w:t>
      </w:r>
      <w:r w:rsidRPr="004726FD">
        <w:rPr>
          <w:vertAlign w:val="superscript"/>
          <w:lang w:val="zh-CN" w:eastAsia="zh-TW"/>
        </w:rPr>
        <w:endnoteReference w:id="43"/>
      </w:r>
      <w:r w:rsidRPr="004726FD">
        <w:rPr>
          <w:rFonts w:hint="eastAsia"/>
          <w:lang w:val="zh-CN"/>
        </w:rPr>
        <w:t>可见将接缝处融合到位，有利于减少剑体受到的腐蚀。</w:t>
      </w:r>
    </w:p>
    <w:p w14:paraId="67F0CCF6" w14:textId="77777777" w:rsidR="0044246D" w:rsidRPr="004726FD" w:rsidRDefault="0044246D" w:rsidP="004726FD">
      <w:pPr>
        <w:pStyle w:val="aff6"/>
        <w:ind w:firstLine="560"/>
        <w:rPr>
          <w:rFonts w:eastAsia="PMingLiU"/>
        </w:rPr>
      </w:pPr>
      <w:r w:rsidRPr="004726FD">
        <w:rPr>
          <w:rFonts w:hint="eastAsia"/>
        </w:rPr>
        <w:t>“生如黍粟状”，“黍粟”即黄米和小米，古代有用黍、粟形容剑者：</w:t>
      </w:r>
    </w:p>
    <w:p w14:paraId="1BF3F3BA" w14:textId="77777777" w:rsidR="0044246D" w:rsidRPr="004726FD" w:rsidRDefault="0044246D" w:rsidP="004726FD">
      <w:pPr>
        <w:pStyle w:val="aff4"/>
        <w:spacing w:before="540" w:after="540"/>
        <w:ind w:firstLine="496"/>
      </w:pPr>
      <w:r w:rsidRPr="004726FD">
        <w:rPr>
          <w:rFonts w:hint="eastAsia"/>
        </w:rPr>
        <w:t>（8）干将匿其阳，出其阴而献之，阖闾甚重之。既得宝剑，适会鲁使季孙聘于吴，阖闾使掌剑大夫以莫耶献之。季孙拔剑之，锷中缺者大如黍米，叹曰：“美哉！剑也。虽上国之师，何能加之！夫剑之成也，吴霸。有缺，则亡矣。我虽好之，其可受乎？”不受而去。（《吴越春秋·阖闾内传第四》）</w:t>
      </w:r>
      <w:r w:rsidRPr="004726FD">
        <w:rPr>
          <w:vertAlign w:val="superscript"/>
        </w:rPr>
        <w:endnoteReference w:id="44"/>
      </w:r>
    </w:p>
    <w:p w14:paraId="78D9F1CC" w14:textId="77777777" w:rsidR="0044246D" w:rsidRPr="004726FD" w:rsidRDefault="0044246D" w:rsidP="004726FD">
      <w:pPr>
        <w:pStyle w:val="aff4"/>
        <w:spacing w:before="540" w:after="540"/>
        <w:ind w:firstLine="496"/>
      </w:pPr>
      <w:r w:rsidRPr="004726FD">
        <w:rPr>
          <w:rFonts w:hint="eastAsia"/>
        </w:rPr>
        <w:t>（9）王曰：“然巨阙初成之时，吾坐于露坛之上，宫人有四驾白鹿而过者，车奔鹿惊，吾引剑而指之，四驾上飞扬，不知其絶也。穿铜釜，絶铁䥶，胥中决如粢米，故曰巨阙。”（《越绝书·越绝外传记宝剑第十三》）</w:t>
      </w:r>
      <w:r w:rsidRPr="004726FD">
        <w:rPr>
          <w:vertAlign w:val="superscript"/>
        </w:rPr>
        <w:endnoteReference w:id="45"/>
      </w:r>
    </w:p>
    <w:p w14:paraId="5C1E0709" w14:textId="77777777" w:rsidR="0044246D" w:rsidRPr="004726FD" w:rsidRDefault="0044246D" w:rsidP="004726FD">
      <w:pPr>
        <w:pStyle w:val="aff6"/>
        <w:ind w:firstLine="560"/>
        <w:rPr>
          <w:rFonts w:eastAsia="PMingLiU"/>
        </w:rPr>
      </w:pPr>
      <w:r w:rsidRPr="004726FD">
        <w:rPr>
          <w:rFonts w:hint="eastAsia"/>
        </w:rPr>
        <w:t>文中的“黍粟”虽然形容的不是剑身，而是剑刃的缺口，但以黍</w:t>
      </w:r>
      <w:r w:rsidRPr="004726FD">
        <w:rPr>
          <w:rFonts w:hint="eastAsia"/>
        </w:rPr>
        <w:lastRenderedPageBreak/>
        <w:t>粟形容非常小的物品，是当时的一种习惯，如《论衡·验符》篇：“永昌郡中亦有金焉，纤靡大如黍粟，在水涯沙中。”</w:t>
      </w:r>
      <w:r w:rsidRPr="004726FD">
        <w:rPr>
          <w:vertAlign w:val="superscript"/>
          <w:lang w:eastAsia="zh-TW"/>
        </w:rPr>
        <w:endnoteReference w:id="46"/>
      </w:r>
      <w:r w:rsidRPr="004726FD">
        <w:rPr>
          <w:rFonts w:hint="eastAsia"/>
        </w:rPr>
        <w:t>《博物志》卷七：“孝武建元四年，天雨粟。孝元竟宁元年，南阳山都雨谷，小者如黍粟而青黑，味苦；大者如大豆赤黄，味如麦。”</w:t>
      </w:r>
      <w:r w:rsidRPr="004726FD">
        <w:rPr>
          <w:vertAlign w:val="superscript"/>
          <w:lang w:eastAsia="zh-TW"/>
        </w:rPr>
        <w:endnoteReference w:id="47"/>
      </w:r>
    </w:p>
    <w:p w14:paraId="0700BBB7" w14:textId="77777777" w:rsidR="0044246D" w:rsidRPr="004726FD" w:rsidRDefault="0044246D" w:rsidP="004726FD">
      <w:pPr>
        <w:pStyle w:val="aff6"/>
        <w:ind w:firstLine="560"/>
        <w:rPr>
          <w:rFonts w:eastAsia="PMingLiU"/>
        </w:rPr>
      </w:pPr>
      <w:r w:rsidRPr="004726FD">
        <w:rPr>
          <w:rFonts w:hint="eastAsia"/>
        </w:rPr>
        <w:t>“生”字绝大部分论著都没有加以解释。有一些论著从其解释看，显然是把此处的“生”误解为了动词“生成”之“生”。李零读“生”为“星”，认为“季孙拔剑之，锷中缺者大如黍米”中的“缺”为“星”字之误，不妥。《中国简牍集成》训“生”为“锈”，是正确的。这个发明是日本人大川俊隆在2001年提出的。汉简中有如下之例：</w:t>
      </w:r>
    </w:p>
    <w:p w14:paraId="422E0DFB" w14:textId="77777777" w:rsidR="0044246D" w:rsidRPr="004726FD" w:rsidRDefault="0044246D" w:rsidP="004726FD">
      <w:pPr>
        <w:pStyle w:val="aff4"/>
        <w:spacing w:before="540" w:after="540"/>
        <w:ind w:firstLine="496"/>
      </w:pPr>
      <w:r w:rsidRPr="004726FD">
        <w:rPr>
          <w:rFonts w:hint="eastAsia"/>
        </w:rPr>
        <w:t>（10）</w:t>
      </w:r>
      <w:r w:rsidRPr="004726FD">
        <w:rPr>
          <w:rFonts w:hint="eastAsia"/>
          <w:lang w:val="zh-CN"/>
        </w:rPr>
        <w:t>前为广校剑</w:t>
      </w:r>
      <w:r w:rsidRPr="004726FD">
        <w:rPr>
          <w:rFonts w:hint="eastAsia"/>
        </w:rPr>
        <w:t>，</w:t>
      </w:r>
      <w:r w:rsidRPr="004726FD">
        <w:rPr>
          <w:rFonts w:hint="eastAsia"/>
          <w:lang w:val="zh-CN"/>
        </w:rPr>
        <w:t>属昨日天阴</w:t>
      </w:r>
      <w:r w:rsidRPr="004726FD">
        <w:rPr>
          <w:rFonts w:hint="eastAsia"/>
        </w:rPr>
        <w:t>，</w:t>
      </w:r>
      <w:r w:rsidRPr="004726FD">
        <w:rPr>
          <w:rFonts w:hint="eastAsia"/>
          <w:lang w:val="zh-CN"/>
        </w:rPr>
        <w:t>恐剑刃生般</w:t>
      </w:r>
      <w:r w:rsidRPr="004726FD">
        <w:rPr>
          <w:rFonts w:hint="eastAsia"/>
        </w:rPr>
        <w:t>[</w:t>
      </w:r>
      <w:r w:rsidRPr="004726FD">
        <w:rPr>
          <w:rFonts w:hint="eastAsia"/>
          <w:lang w:val="zh-CN"/>
        </w:rPr>
        <w:t>刃</w:t>
      </w:r>
      <w:r w:rsidRPr="004726FD">
        <w:rPr>
          <w:rFonts w:hint="eastAsia"/>
        </w:rPr>
        <w:t>]□（244·3A）</w:t>
      </w:r>
    </w:p>
    <w:p w14:paraId="7BDB405B" w14:textId="77777777" w:rsidR="0044246D" w:rsidRPr="004726FD" w:rsidRDefault="0044246D" w:rsidP="004726FD">
      <w:pPr>
        <w:pStyle w:val="aff4"/>
        <w:spacing w:before="540" w:after="540"/>
        <w:ind w:firstLine="496"/>
      </w:pPr>
      <w:r w:rsidRPr="004726FD">
        <w:rPr>
          <w:rFonts w:hint="eastAsia"/>
        </w:rPr>
        <w:t>（11）</w:t>
      </w:r>
      <w:r w:rsidRPr="004726FD">
        <w:rPr>
          <w:rFonts w:hint="eastAsia"/>
          <w:lang w:val="zh-CN"/>
        </w:rPr>
        <w:t>第廿</w:t>
      </w:r>
      <w:r w:rsidRPr="004726FD">
        <w:rPr>
          <w:rFonts w:hint="eastAsia"/>
        </w:rPr>
        <w:t>隧</w:t>
      </w:r>
      <w:r w:rsidRPr="004726FD">
        <w:rPr>
          <w:rFonts w:hint="eastAsia"/>
          <w:lang w:val="zh-CN"/>
        </w:rPr>
        <w:t>卒䲨丘定</w:t>
      </w:r>
      <w:r w:rsidRPr="004726FD">
        <w:rPr>
          <w:rFonts w:hint="eastAsia"/>
        </w:rPr>
        <w:t xml:space="preserve"> </w:t>
      </w:r>
      <w:r w:rsidRPr="004726FD">
        <w:rPr>
          <w:rFonts w:hint="eastAsia"/>
          <w:lang w:val="zh-CN"/>
        </w:rPr>
        <w:t>有方一刃</w:t>
      </w:r>
      <w:r w:rsidRPr="004726FD">
        <w:rPr>
          <w:rFonts w:hint="eastAsia"/>
        </w:rPr>
        <w:t xml:space="preserve">生 </w:t>
      </w:r>
      <w:r w:rsidRPr="004726FD">
        <w:rPr>
          <w:rFonts w:hint="eastAsia"/>
          <w:lang w:val="zh-CN"/>
        </w:rPr>
        <w:t>右卒兵受居延</w:t>
      </w:r>
      <w:r w:rsidRPr="004726FD">
        <w:rPr>
          <w:rFonts w:hint="eastAsia"/>
        </w:rPr>
        <w:t>（311·2）</w:t>
      </w:r>
    </w:p>
    <w:p w14:paraId="2540CBA9" w14:textId="77777777" w:rsidR="0044246D" w:rsidRPr="004726FD" w:rsidRDefault="0044246D" w:rsidP="004726FD">
      <w:pPr>
        <w:pStyle w:val="aff4"/>
        <w:spacing w:before="540" w:after="540"/>
        <w:ind w:firstLine="496"/>
        <w:rPr>
          <w:lang w:val="zh-CN"/>
        </w:rPr>
      </w:pPr>
      <w:r w:rsidRPr="004726FD">
        <w:rPr>
          <w:rFonts w:hint="eastAsia"/>
        </w:rPr>
        <w:t>（12）</w:t>
      </w:r>
      <w:r w:rsidRPr="004726FD">
        <w:rPr>
          <w:rFonts w:hint="eastAsia"/>
          <w:lang w:val="zh-CN"/>
        </w:rPr>
        <w:t>□□□□    有方一刃小缺</w:t>
      </w:r>
      <w:r w:rsidRPr="004726FD">
        <w:rPr>
          <w:rFonts w:hint="eastAsia"/>
        </w:rPr>
        <w:t xml:space="preserve">生 </w:t>
      </w:r>
      <w:r w:rsidRPr="004726FD">
        <w:rPr>
          <w:rFonts w:hint="eastAsia"/>
          <w:lang w:val="zh-CN"/>
        </w:rPr>
        <w:t xml:space="preserve">    枲长弦一小  卩（《敦煌汉简》824）</w:t>
      </w:r>
    </w:p>
    <w:p w14:paraId="41D1DBC0" w14:textId="77777777" w:rsidR="0044246D" w:rsidRPr="004726FD" w:rsidRDefault="0044246D" w:rsidP="004726FD">
      <w:pPr>
        <w:pStyle w:val="aff4"/>
        <w:spacing w:before="540" w:after="540"/>
        <w:ind w:firstLine="496"/>
        <w:rPr>
          <w:lang w:val="zh-CN"/>
        </w:rPr>
      </w:pPr>
      <w:r w:rsidRPr="004726FD">
        <w:rPr>
          <w:rFonts w:hint="eastAsia"/>
          <w:lang w:val="zh-CN"/>
        </w:rPr>
        <w:t>（13）兰毋冠</w:t>
      </w:r>
    </w:p>
    <w:p w14:paraId="2AE827EC" w14:textId="77777777" w:rsidR="0044246D" w:rsidRPr="004726FD" w:rsidRDefault="0044246D" w:rsidP="004726FD">
      <w:pPr>
        <w:pStyle w:val="aff4"/>
        <w:spacing w:before="540" w:after="540"/>
        <w:ind w:firstLine="496"/>
        <w:rPr>
          <w:lang w:val="zh-CN"/>
        </w:rPr>
      </w:pPr>
      <w:r w:rsidRPr="004726FD">
        <w:rPr>
          <w:rFonts w:hint="eastAsia"/>
          <w:lang w:val="zh-CN"/>
        </w:rPr>
        <w:t>有方一刃缺</w:t>
      </w:r>
      <w:r w:rsidRPr="004726FD">
        <w:rPr>
          <w:rFonts w:hint="eastAsia"/>
        </w:rPr>
        <w:t>生</w:t>
      </w:r>
    </w:p>
    <w:p w14:paraId="2750540A" w14:textId="77777777" w:rsidR="0044246D" w:rsidRPr="004726FD" w:rsidRDefault="0044246D" w:rsidP="004726FD">
      <w:pPr>
        <w:pStyle w:val="aff4"/>
        <w:spacing w:before="540" w:after="540"/>
        <w:ind w:firstLine="496"/>
        <w:rPr>
          <w:lang w:val="zh-CN"/>
        </w:rPr>
      </w:pPr>
      <w:r w:rsidRPr="004726FD">
        <w:rPr>
          <w:rFonts w:hint="eastAsia"/>
          <w:lang w:val="zh-CN"/>
        </w:rPr>
        <w:t>椟丸破</w:t>
      </w:r>
    </w:p>
    <w:p w14:paraId="4FB4CC2A" w14:textId="77777777" w:rsidR="0044246D" w:rsidRPr="004726FD" w:rsidRDefault="0044246D" w:rsidP="004726FD">
      <w:pPr>
        <w:pStyle w:val="aff4"/>
        <w:spacing w:before="540" w:after="540"/>
        <w:ind w:firstLine="496"/>
        <w:rPr>
          <w:lang w:val="zh-CN"/>
        </w:rPr>
      </w:pPr>
      <w:r w:rsidRPr="004726FD">
        <w:rPr>
          <w:rFonts w:hint="eastAsia"/>
          <w:lang w:val="zh-CN"/>
        </w:rPr>
        <w:t>木薪芮薪小（《敦煌汉简》1150）</w:t>
      </w:r>
    </w:p>
    <w:p w14:paraId="66093A80" w14:textId="77777777" w:rsidR="0044246D" w:rsidRPr="004726FD" w:rsidRDefault="0044246D" w:rsidP="004726FD">
      <w:pPr>
        <w:pStyle w:val="aff4"/>
        <w:spacing w:before="540" w:after="540"/>
        <w:ind w:firstLine="496"/>
        <w:rPr>
          <w:lang w:val="zh-CN"/>
        </w:rPr>
      </w:pPr>
      <w:r w:rsidRPr="004726FD">
        <w:rPr>
          <w:rFonts w:hint="eastAsia"/>
        </w:rPr>
        <w:lastRenderedPageBreak/>
        <w:t>（14）</w:t>
      </w:r>
      <w:r w:rsidRPr="004726FD">
        <w:rPr>
          <w:rFonts w:ascii="微软雅黑" w:eastAsia="微软雅黑" w:hAnsi="微软雅黑" w:hint="eastAsia"/>
          <w:lang w:val="zh-CN"/>
        </w:rPr>
        <w:t>〼</w:t>
      </w:r>
      <w:r w:rsidRPr="004726FD">
        <w:rPr>
          <w:rFonts w:hint="eastAsia"/>
          <w:lang w:val="zh-CN"/>
        </w:rPr>
        <w:t>其三百四完 七十五元年六月为大司农茭，刃缺弊尽</w:t>
      </w:r>
    </w:p>
    <w:p w14:paraId="0B163923" w14:textId="77777777" w:rsidR="0044246D" w:rsidRPr="004726FD" w:rsidRDefault="0044246D" w:rsidP="004726FD">
      <w:pPr>
        <w:pStyle w:val="aff4"/>
        <w:spacing w:before="540" w:after="540"/>
        <w:ind w:firstLine="496"/>
        <w:rPr>
          <w:lang w:val="zh-CN"/>
        </w:rPr>
      </w:pPr>
      <w:r w:rsidRPr="004726FD">
        <w:rPr>
          <w:rFonts w:hint="eastAsia"/>
          <w:lang w:val="zh-CN"/>
        </w:rPr>
        <w:t>□□□受南阳郡刃缺须</w:t>
      </w:r>
      <w:r w:rsidRPr="004726FD">
        <w:rPr>
          <w:rFonts w:hint="eastAsia"/>
        </w:rPr>
        <w:t>生，</w:t>
      </w:r>
      <w:r w:rsidRPr="004726FD">
        <w:rPr>
          <w:rFonts w:hint="eastAsia"/>
          <w:lang w:val="zh-CN"/>
        </w:rPr>
        <w:t>弊不可用（EPT51：550）</w:t>
      </w:r>
    </w:p>
    <w:p w14:paraId="6E9AB81F" w14:textId="77777777" w:rsidR="0044246D" w:rsidRPr="004726FD" w:rsidRDefault="0044246D" w:rsidP="004726FD">
      <w:pPr>
        <w:pStyle w:val="aff4"/>
        <w:spacing w:before="540" w:after="540"/>
        <w:ind w:firstLine="496"/>
        <w:rPr>
          <w:lang w:val="zh-CN"/>
        </w:rPr>
      </w:pPr>
      <w:r w:rsidRPr="004726FD">
        <w:rPr>
          <w:rFonts w:hint="eastAsia"/>
          <w:lang w:val="zh-CN"/>
        </w:rPr>
        <w:t>（15）河平元年九月戊戌朔丙辰，不侵守侯长士吏猛敢言之：将军行塞举驷</w:t>
      </w:r>
      <w:r w:rsidRPr="004726FD">
        <w:rPr>
          <w:rFonts w:hint="eastAsia"/>
        </w:rPr>
        <w:t>望隧</w:t>
      </w:r>
      <w:r w:rsidRPr="004726FD">
        <w:rPr>
          <w:rFonts w:hint="eastAsia"/>
          <w:lang w:val="zh-CN"/>
        </w:rPr>
        <w:t>长杜未央所带剑刃</w:t>
      </w:r>
      <w:r w:rsidRPr="004726FD">
        <w:rPr>
          <w:rFonts w:hint="eastAsia"/>
          <w:noProof/>
          <w:lang w:val="zh-CN"/>
        </w:rPr>
        <w:t>生，</w:t>
      </w:r>
      <w:r w:rsidRPr="004726FD">
        <w:rPr>
          <w:rFonts w:hint="eastAsia"/>
          <w:lang w:val="zh-CN"/>
        </w:rPr>
        <w:t>狗少一，未央贫急</w:t>
      </w:r>
      <w:r w:rsidRPr="004726FD">
        <w:rPr>
          <w:noProof/>
          <w:lang w:val="zh-CN"/>
        </w:rPr>
        <w:drawing>
          <wp:inline distT="0" distB="0" distL="0" distR="0" wp14:anchorId="55F73EB2" wp14:editId="092D272E">
            <wp:extent cx="146050" cy="146050"/>
            <wp:effectExtent l="0" t="0" r="6350" b="6350"/>
            <wp:docPr id="7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4726FD">
        <w:rPr>
          <w:rFonts w:hint="eastAsia"/>
          <w:lang w:val="zh-CN"/>
        </w:rPr>
        <w:t>弱，毋以塞举，请</w:t>
      </w:r>
      <w:r w:rsidRPr="004726FD">
        <w:rPr>
          <w:rFonts w:ascii="SimSun-ExtB" w:eastAsia="SimSun-ExtB" w:hAnsi="SimSun-ExtB" w:cs="SimSun-ExtB" w:hint="eastAsia"/>
          <w:lang w:val="zh-CN"/>
        </w:rPr>
        <w:t>𢇛</w:t>
      </w:r>
      <w:r w:rsidRPr="004726FD">
        <w:rPr>
          <w:rFonts w:hint="eastAsia"/>
          <w:lang w:val="zh-CN"/>
        </w:rPr>
        <w:t>免，谒言官，敢言之。（EPT59：3-4）</w:t>
      </w:r>
    </w:p>
    <w:p w14:paraId="4096773F" w14:textId="77777777" w:rsidR="0044246D" w:rsidRPr="004726FD" w:rsidRDefault="0044246D" w:rsidP="004726FD">
      <w:pPr>
        <w:pStyle w:val="aff5"/>
        <w:rPr>
          <w:rFonts w:eastAsia="PMingLiU"/>
        </w:rPr>
      </w:pPr>
      <w:r w:rsidRPr="004726FD">
        <w:rPr>
          <w:rFonts w:hint="eastAsia"/>
        </w:rPr>
        <w:t>他指出以上简文中的“生”都应当读为“</w:t>
      </w:r>
      <w:r w:rsidRPr="004726FD">
        <w:rPr>
          <w:noProof/>
          <w:lang w:val="zh-CN"/>
        </w:rPr>
        <w:drawing>
          <wp:inline distT="0" distB="0" distL="0" distR="0" wp14:anchorId="2444D47F" wp14:editId="7F98DC3B">
            <wp:extent cx="152400" cy="152400"/>
            <wp:effectExtent l="0" t="0" r="0" b="0"/>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”，指剑、有方等带刃兵器刃部生锈，</w:t>
      </w:r>
      <w:r w:rsidRPr="004726FD">
        <w:rPr>
          <w:vertAlign w:val="superscript"/>
          <w:lang w:eastAsia="zh-TW"/>
        </w:rPr>
        <w:endnoteReference w:id="48"/>
      </w:r>
      <w:r w:rsidRPr="004726FD">
        <w:rPr>
          <w:rFonts w:hint="eastAsia"/>
        </w:rPr>
        <w:t>其说极是。</w:t>
      </w:r>
      <w:r w:rsidRPr="004726FD">
        <w:rPr>
          <w:rFonts w:hint="eastAsia"/>
          <w:lang w:val="zh-CN"/>
        </w:rPr>
        <w:t>《齐民要术》</w:t>
      </w:r>
      <w:r w:rsidRPr="004726FD">
        <w:rPr>
          <w:rFonts w:hint="eastAsia"/>
        </w:rPr>
        <w:t>卷八“作酱法”：“用不津瓮，置日中高处石上。”注曰：“夏雨，无令水浸瓮底。以一</w:t>
      </w:r>
      <w:r w:rsidRPr="004726FD">
        <w:rPr>
          <w:noProof/>
          <w:lang w:val="zh-CN"/>
        </w:rPr>
        <w:drawing>
          <wp:inline distT="0" distB="0" distL="0" distR="0" wp14:anchorId="2645CA4E" wp14:editId="5E6EEA60">
            <wp:extent cx="152400" cy="152400"/>
            <wp:effectExtent l="0" t="0" r="0" b="0"/>
            <wp:docPr id="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noProof/>
          <w:lang w:val="zh-CN"/>
        </w:rPr>
        <w:drawing>
          <wp:inline distT="0" distB="0" distL="0" distR="0" wp14:anchorId="60224F1F" wp14:editId="1F4247D5">
            <wp:extent cx="152400" cy="152400"/>
            <wp:effectExtent l="0" t="0" r="0" b="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铁钉子，背岁杀钉着瓮底石下。后虽有姙娠妇人食之。酱亦不坏烂也。”</w:t>
      </w:r>
      <w:r w:rsidRPr="004726FD">
        <w:rPr>
          <w:vertAlign w:val="superscript"/>
          <w:lang w:eastAsia="zh-TW"/>
        </w:rPr>
        <w:endnoteReference w:id="49"/>
      </w:r>
      <w:r w:rsidRPr="004726FD">
        <w:rPr>
          <w:rFonts w:hint="eastAsia"/>
        </w:rPr>
        <w:t>此处“</w:t>
      </w:r>
      <w:r w:rsidRPr="004726FD">
        <w:rPr>
          <w:noProof/>
          <w:lang w:val="zh-CN"/>
        </w:rPr>
        <w:drawing>
          <wp:inline distT="0" distB="0" distL="0" distR="0" wp14:anchorId="4CCA7B9D" wp14:editId="0EF50995">
            <wp:extent cx="152400" cy="152400"/>
            <wp:effectExtent l="0" t="0" r="0" b="0"/>
            <wp:docPr id="8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noProof/>
          <w:lang w:val="zh-CN"/>
        </w:rPr>
        <w:drawing>
          <wp:inline distT="0" distB="0" distL="0" distR="0" wp14:anchorId="697D60E8" wp14:editId="09FBA4F0">
            <wp:extent cx="152400" cy="152400"/>
            <wp:effectExtent l="0" t="0" r="0" b="0"/>
            <wp:docPr id="8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”同义连用，均为动词“生锈”义。唐皮日休《追和清远道士诗兼次本韵》：“兹岑信灵异，吾怀惬流玩。石涩古铁</w:t>
      </w:r>
      <w:r w:rsidRPr="004726FD">
        <w:rPr>
          <w:noProof/>
          <w:lang w:val="zh-CN"/>
        </w:rPr>
        <w:drawing>
          <wp:inline distT="0" distB="0" distL="0" distR="0" wp14:anchorId="15F339F2" wp14:editId="2F02B994">
            <wp:extent cx="152400" cy="152400"/>
            <wp:effectExtent l="0" t="0" r="0" b="0"/>
            <wp:docPr id="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，岚重轻埃漫。”注释者认为“</w:t>
      </w:r>
      <w:r w:rsidRPr="004726FD">
        <w:rPr>
          <w:noProof/>
          <w:lang w:val="zh-CN"/>
        </w:rPr>
        <w:drawing>
          <wp:inline distT="0" distB="0" distL="0" distR="0" wp14:anchorId="1696333E" wp14:editId="1B388826">
            <wp:extent cx="152400" cy="152400"/>
            <wp:effectExtent l="0" t="0" r="0" b="0"/>
            <wp:docPr id="8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”是名词铁锈，</w:t>
      </w:r>
      <w:r w:rsidRPr="004726FD">
        <w:rPr>
          <w:vertAlign w:val="superscript"/>
          <w:lang w:eastAsia="zh-TW"/>
        </w:rPr>
        <w:endnoteReference w:id="50"/>
      </w:r>
      <w:r w:rsidRPr="004726FD">
        <w:rPr>
          <w:rFonts w:hint="eastAsia"/>
        </w:rPr>
        <w:t>《汉语大词典》也引本句，解为“金属所生的锈”。</w:t>
      </w:r>
      <w:r w:rsidRPr="004726FD">
        <w:rPr>
          <w:vertAlign w:val="superscript"/>
        </w:rPr>
        <w:endnoteReference w:id="51"/>
      </w:r>
      <w:r w:rsidRPr="004726FD">
        <w:rPr>
          <w:rFonts w:hint="eastAsia"/>
        </w:rPr>
        <w:t>其实只要看对句就能够判断这里的“</w:t>
      </w:r>
      <w:r w:rsidRPr="004726FD">
        <w:rPr>
          <w:noProof/>
          <w:lang w:val="zh-CN"/>
        </w:rPr>
        <w:drawing>
          <wp:inline distT="0" distB="0" distL="0" distR="0" wp14:anchorId="62CBDD3D" wp14:editId="41F35948">
            <wp:extent cx="152400" cy="152400"/>
            <wp:effectExtent l="0" t="0" r="0" b="0"/>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”同样是动词，诗的大意是说石头上长了青苔变得生涩，正如古铁生了锈；山中的雾气迷蒙，犹如轻薄的尘埃弥漫。</w:t>
      </w:r>
    </w:p>
    <w:p w14:paraId="67697AA2" w14:textId="77777777" w:rsidR="0044246D" w:rsidRPr="004726FD" w:rsidRDefault="0044246D" w:rsidP="004726FD">
      <w:pPr>
        <w:pStyle w:val="aff6"/>
        <w:ind w:firstLine="560"/>
        <w:rPr>
          <w:rFonts w:eastAsia="PMingLiU"/>
        </w:rPr>
      </w:pPr>
      <w:r w:rsidRPr="004726FD">
        <w:rPr>
          <w:rFonts w:hint="eastAsia"/>
        </w:rPr>
        <w:t>“</w:t>
      </w:r>
      <w:r w:rsidRPr="004726FD">
        <w:rPr>
          <w:noProof/>
          <w:lang w:val="zh-CN"/>
        </w:rPr>
        <w:drawing>
          <wp:inline distT="0" distB="0" distL="0" distR="0" wp14:anchorId="2FB4FD1E" wp14:editId="4D5F3932">
            <wp:extent cx="152400" cy="152400"/>
            <wp:effectExtent l="0" t="0" r="0" b="0"/>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”也有名词的用法。《集韵·庚韵》“</w:t>
      </w:r>
      <w:r w:rsidRPr="004726FD">
        <w:rPr>
          <w:noProof/>
          <w:lang w:val="zh-CN"/>
        </w:rPr>
        <w:drawing>
          <wp:inline distT="0" distB="0" distL="0" distR="0" wp14:anchorId="59221013" wp14:editId="0ACF8BBD">
            <wp:extent cx="152400" cy="152400"/>
            <wp:effectExtent l="0" t="0" r="0" b="0"/>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，铁衣也”</w:t>
      </w:r>
      <w:r w:rsidRPr="004726FD">
        <w:rPr>
          <w:vertAlign w:val="superscript"/>
        </w:rPr>
        <w:endnoteReference w:id="52"/>
      </w:r>
      <w:r w:rsidRPr="004726FD">
        <w:rPr>
          <w:rFonts w:hint="eastAsia"/>
        </w:rPr>
        <w:t>指的就是铁锈。唐薛逢《灵台家兄古镜歌》：“金膏洗拭</w:t>
      </w:r>
      <w:r w:rsidRPr="004726FD">
        <w:rPr>
          <w:noProof/>
          <w:lang w:val="zh-CN"/>
        </w:rPr>
        <w:drawing>
          <wp:inline distT="0" distB="0" distL="0" distR="0" wp14:anchorId="5730752D" wp14:editId="790C1CEE">
            <wp:extent cx="152400" cy="152400"/>
            <wp:effectExtent l="0" t="0" r="0" b="0"/>
            <wp:docPr id="9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涩尽，黑云吐出新蟾</w:t>
      </w:r>
      <w:r w:rsidRPr="004726FD">
        <w:rPr>
          <w:rFonts w:hint="eastAsia"/>
        </w:rPr>
        <w:lastRenderedPageBreak/>
        <w:t>蜍。”</w:t>
      </w:r>
      <w:r w:rsidRPr="004726FD">
        <w:rPr>
          <w:vertAlign w:val="superscript"/>
          <w:lang w:eastAsia="zh-TW"/>
        </w:rPr>
        <w:endnoteReference w:id="53"/>
      </w:r>
      <w:r w:rsidRPr="004726FD">
        <w:rPr>
          <w:rFonts w:hint="eastAsia"/>
        </w:rPr>
        <w:t>在本简中，“生如黍粟”的“生”也用为名词。</w:t>
      </w:r>
    </w:p>
    <w:p w14:paraId="54929562" w14:textId="77777777" w:rsidR="0044246D" w:rsidRPr="004726FD" w:rsidRDefault="0044246D" w:rsidP="004726FD">
      <w:pPr>
        <w:pStyle w:val="aff6"/>
        <w:ind w:firstLine="560"/>
        <w:rPr>
          <w:rFonts w:eastAsia="PMingLiU"/>
        </w:rPr>
      </w:pPr>
      <w:r w:rsidRPr="004726FD">
        <w:rPr>
          <w:rFonts w:hint="eastAsia"/>
        </w:rPr>
        <w:t>“</w:t>
      </w:r>
      <w:r w:rsidRPr="004726FD">
        <w:rPr>
          <w:noProof/>
          <w:lang w:val="zh-CN"/>
        </w:rPr>
        <w:drawing>
          <wp:inline distT="0" distB="0" distL="0" distR="0" wp14:anchorId="60BED1A4" wp14:editId="137D7219">
            <wp:extent cx="152400" cy="152400"/>
            <wp:effectExtent l="0" t="0" r="0" b="0"/>
            <wp:docPr id="9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字后起，用“生”表示“生锈”和“所生之锈”在传世和出土文献中仍有很多例证。胡敕瑞指出：《说文》“銴”字训释中的“铜生五色”中的“生”并不是产生、滋生义，而是指“所生之锈”；《说文》“金”字训释中的“久薶不生衣”中的“生”亦不是产生、滋生义，也是指“生锈”。</w:t>
      </w:r>
      <w:r w:rsidRPr="004726FD">
        <w:rPr>
          <w:vertAlign w:val="superscript"/>
          <w:lang w:eastAsia="zh-TW"/>
        </w:rPr>
        <w:endnoteReference w:id="54"/>
      </w:r>
      <w:r w:rsidRPr="004726FD">
        <w:rPr>
          <w:rFonts w:hint="eastAsia"/>
        </w:rPr>
        <w:t>陈剑也指出，银雀山汉简《守法守令等十三篇·库法》“有生、腐、毁【者，□啬夫】弗知，甚大事也”中的“生”谓“生锈”，“生（</w:t>
      </w:r>
      <w:r w:rsidRPr="004726FD">
        <w:rPr>
          <w:noProof/>
          <w:lang w:val="zh-CN"/>
        </w:rPr>
        <w:drawing>
          <wp:inline distT="0" distB="0" distL="0" distR="0" wp14:anchorId="4E8EE3AD" wp14:editId="5AC13F55">
            <wp:extent cx="152400" cy="152400"/>
            <wp:effectExtent l="0" t="0" r="0" b="0"/>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）”“腐”“毁”三者并列，都是就库中器物之各种不好情况而言。“生”的这一用法不限于汉代，还可进一步上推至战国晚期。</w:t>
      </w:r>
      <w:r w:rsidRPr="004726FD">
        <w:rPr>
          <w:vertAlign w:val="superscript"/>
          <w:lang w:eastAsia="zh-TW"/>
        </w:rPr>
        <w:endnoteReference w:id="55"/>
      </w:r>
    </w:p>
    <w:p w14:paraId="1679A619" w14:textId="77777777" w:rsidR="0044246D" w:rsidRPr="004726FD" w:rsidRDefault="0044246D" w:rsidP="004726FD">
      <w:pPr>
        <w:pStyle w:val="aff6"/>
        <w:ind w:firstLine="560"/>
      </w:pPr>
      <w:r w:rsidRPr="004726FD">
        <w:rPr>
          <w:rFonts w:hint="eastAsia"/>
        </w:rPr>
        <w:t>不过大川俊隆推测“‘</w:t>
      </w:r>
      <w:r w:rsidRPr="004726FD">
        <w:rPr>
          <w:noProof/>
          <w:lang w:val="zh-CN"/>
        </w:rPr>
        <w:drawing>
          <wp:inline distT="0" distB="0" distL="0" distR="0" wp14:anchorId="42A797C4" wp14:editId="327605A8">
            <wp:extent cx="152400" cy="152400"/>
            <wp:effectExtent l="0" t="0" r="0" b="0"/>
            <wp:docPr id="9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w:t>
      </w:r>
      <w:r w:rsidRPr="004726FD">
        <w:rPr>
          <w:rFonts w:hint="eastAsia"/>
          <w:lang w:val="zh-CN"/>
        </w:rPr>
        <w:t>字是从元字</w:t>
      </w:r>
      <w:r w:rsidRPr="004726FD">
        <w:rPr>
          <w:rFonts w:hint="eastAsia"/>
        </w:rPr>
        <w:t>‘</w:t>
      </w:r>
      <w:r w:rsidRPr="004726FD">
        <w:rPr>
          <w:rFonts w:hint="eastAsia"/>
          <w:lang w:val="zh-CN"/>
        </w:rPr>
        <w:t>生</w:t>
      </w:r>
      <w:r w:rsidRPr="004726FD">
        <w:rPr>
          <w:rFonts w:hint="eastAsia"/>
        </w:rPr>
        <w:t>’</w:t>
      </w:r>
      <w:r w:rsidRPr="004726FD">
        <w:rPr>
          <w:rFonts w:hint="eastAsia"/>
          <w:lang w:val="zh-CN"/>
        </w:rPr>
        <w:t>的</w:t>
      </w:r>
      <w:r w:rsidRPr="004726FD">
        <w:rPr>
          <w:rFonts w:hint="eastAsia"/>
        </w:rPr>
        <w:t>‘</w:t>
      </w:r>
      <w:r w:rsidRPr="004726FD">
        <w:rPr>
          <w:rFonts w:hint="eastAsia"/>
          <w:lang w:val="zh-CN"/>
        </w:rPr>
        <w:t>生硬</w:t>
      </w:r>
      <w:r w:rsidRPr="004726FD">
        <w:rPr>
          <w:rFonts w:hint="eastAsia"/>
        </w:rPr>
        <w:t>’‘</w:t>
      </w:r>
      <w:r w:rsidRPr="004726FD">
        <w:rPr>
          <w:rFonts w:hint="eastAsia"/>
          <w:lang w:val="zh-CN"/>
        </w:rPr>
        <w:t>生疏</w:t>
      </w:r>
      <w:r w:rsidRPr="004726FD">
        <w:rPr>
          <w:rFonts w:hint="eastAsia"/>
        </w:rPr>
        <w:t>’</w:t>
      </w:r>
      <w:r w:rsidRPr="004726FD">
        <w:rPr>
          <w:rFonts w:hint="eastAsia"/>
          <w:lang w:val="zh-CN"/>
        </w:rPr>
        <w:t>这样的意义引申出来的</w:t>
      </w:r>
      <w:r w:rsidRPr="004726FD">
        <w:rPr>
          <w:rFonts w:hint="eastAsia"/>
        </w:rPr>
        <w:t>”，</w:t>
      </w:r>
      <w:r w:rsidRPr="004726FD">
        <w:rPr>
          <w:rFonts w:hint="eastAsia"/>
          <w:lang w:val="zh-CN"/>
        </w:rPr>
        <w:t>似乎还可商榷。“生疏”义的“生”在文献中出现的较晚，与战国晚期已出现的“生锈”义适相颠倒</w:t>
      </w:r>
      <w:r w:rsidRPr="004726FD">
        <w:rPr>
          <w:rFonts w:hint="eastAsia"/>
        </w:rPr>
        <w:t>。《说文·目部》：“眚，目病生翳也。”“眚”“</w:t>
      </w:r>
      <w:r w:rsidRPr="004726FD">
        <w:rPr>
          <w:noProof/>
          <w:lang w:val="zh-CN"/>
        </w:rPr>
        <w:drawing>
          <wp:inline distT="0" distB="0" distL="0" distR="0" wp14:anchorId="74C3D47F" wp14:editId="17BBFD82">
            <wp:extent cx="152400" cy="152400"/>
            <wp:effectExtent l="0" t="0" r="0" b="0"/>
            <wp:docPr id="9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”或可视作同源词，都从“滋生”之义派生。</w:t>
      </w:r>
      <w:r w:rsidRPr="004726FD">
        <w:rPr>
          <w:vertAlign w:val="superscript"/>
        </w:rPr>
        <w:endnoteReference w:id="56"/>
      </w:r>
      <w:r w:rsidRPr="004726FD">
        <w:rPr>
          <w:rFonts w:hint="eastAsia"/>
        </w:rPr>
        <w:t>铁上滋生的锈可称为“</w:t>
      </w:r>
      <w:r w:rsidRPr="004726FD">
        <w:rPr>
          <w:noProof/>
          <w:lang w:val="zh-CN"/>
        </w:rPr>
        <w:drawing>
          <wp:inline distT="0" distB="0" distL="0" distR="0" wp14:anchorId="21F910F6" wp14:editId="6B0C71B3">
            <wp:extent cx="152400" cy="152400"/>
            <wp:effectExtent l="0" t="0" r="0" b="0"/>
            <wp:docPr id="9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”，青铜上滋生的锈自然也可称为“</w:t>
      </w:r>
      <w:r w:rsidRPr="004726FD">
        <w:rPr>
          <w:noProof/>
          <w:lang w:val="zh-CN"/>
        </w:rPr>
        <w:drawing>
          <wp:inline distT="0" distB="0" distL="0" distR="0" wp14:anchorId="5772D30B" wp14:editId="6B171FF0">
            <wp:extent cx="152400" cy="152400"/>
            <wp:effectExtent l="0" t="0" r="0" b="0"/>
            <wp:docPr id="9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”。上引《说文》训释中的“铜生五色”“久薶不生衣”就指的是铜锈，后代字书专谓“</w:t>
      </w:r>
      <w:r w:rsidRPr="004726FD">
        <w:rPr>
          <w:noProof/>
          <w:lang w:val="zh-CN"/>
        </w:rPr>
        <w:drawing>
          <wp:inline distT="0" distB="0" distL="0" distR="0" wp14:anchorId="71313D4F" wp14:editId="0909FB1C">
            <wp:extent cx="152400" cy="152400"/>
            <wp:effectExtent l="0" t="0" r="0" b="0"/>
            <wp:docPr id="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”为“铁衣”是词义的缩小。</w:t>
      </w:r>
    </w:p>
    <w:p w14:paraId="53E5CA39" w14:textId="77777777" w:rsidR="0044246D" w:rsidRPr="004726FD" w:rsidRDefault="0044246D" w:rsidP="004726FD">
      <w:pPr>
        <w:pStyle w:val="aff6"/>
        <w:ind w:firstLine="560"/>
        <w:rPr>
          <w:rFonts w:eastAsia="PMingLiU"/>
        </w:rPr>
      </w:pPr>
      <w:r w:rsidRPr="004726FD">
        <w:rPr>
          <w:rFonts w:hint="eastAsia"/>
        </w:rPr>
        <w:t>有学者发现，有的青铜器“通体青绿色而带铅色”，有的青铜器</w:t>
      </w:r>
      <w:r w:rsidRPr="004726FD">
        <w:rPr>
          <w:rFonts w:hint="eastAsia"/>
        </w:rPr>
        <w:lastRenderedPageBreak/>
        <w:t>器表为淡绿色，这种色泽的形成是因为青铜合金含铅量高，在空气或土壤中更容易氧化，从而在器表上形成一层氧化铅硬壳，使器表的颜色呈灰色或灰白色。</w:t>
      </w:r>
      <w:r w:rsidRPr="004726FD">
        <w:rPr>
          <w:vertAlign w:val="superscript"/>
          <w:lang w:eastAsia="zh-TW"/>
        </w:rPr>
        <w:endnoteReference w:id="57"/>
      </w:r>
      <w:r w:rsidRPr="004726FD">
        <w:rPr>
          <w:rFonts w:hint="eastAsia"/>
        </w:rPr>
        <w:t>这种氧化物又叫“氧化蚀坑”，由于氧化层具有较好的抗腐作用，从而大大提高了剑刀的保存寿命。这也许是简文认为生锈的剑锋利吉祥的原因之一。</w:t>
      </w:r>
    </w:p>
    <w:p w14:paraId="318BCEF0" w14:textId="77777777" w:rsidR="0044246D" w:rsidRPr="004726FD" w:rsidRDefault="0044246D" w:rsidP="004726FD">
      <w:pPr>
        <w:pStyle w:val="aff6"/>
        <w:ind w:firstLine="560"/>
      </w:pPr>
      <w:r w:rsidRPr="004726FD">
        <w:rPr>
          <w:rFonts w:hint="eastAsia"/>
        </w:rPr>
        <w:t>原藏古越阁、今归苏州博物馆的一把雪花点纹剑（图六），据介绍“剑身呈灰黑色，如喷漆般光滑亮丽，上面密布着似雪花点花纹”，</w:t>
      </w:r>
      <w:r w:rsidRPr="004726FD">
        <w:rPr>
          <w:vertAlign w:val="superscript"/>
          <w:lang w:eastAsia="zh-TW"/>
        </w:rPr>
        <w:endnoteReference w:id="58"/>
      </w:r>
      <w:r w:rsidRPr="004726FD">
        <w:rPr>
          <w:rFonts w:hint="eastAsia"/>
        </w:rPr>
        <w:t>颇疑此“雪花点纹”即是所谓“氧化蚀坑”。</w:t>
      </w:r>
    </w:p>
    <w:p w14:paraId="5B8EAC0C" w14:textId="77777777" w:rsidR="0044246D" w:rsidRPr="004726FD" w:rsidRDefault="0044246D" w:rsidP="004726FD">
      <w:pPr>
        <w:keepNext/>
        <w:spacing w:line="360" w:lineRule="auto"/>
        <w:jc w:val="center"/>
        <w:rPr>
          <w:rFonts w:cs="Arial"/>
        </w:rPr>
      </w:pPr>
      <w:r w:rsidRPr="004726FD">
        <w:rPr>
          <w:rFonts w:cs="Arial"/>
          <w:noProof/>
        </w:rPr>
        <w:drawing>
          <wp:inline distT="0" distB="0" distL="0" distR="0" wp14:anchorId="5EF31AF1" wp14:editId="2F5D6B1D">
            <wp:extent cx="3079750" cy="3498850"/>
            <wp:effectExtent l="0" t="0" r="6350" b="635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0" cy="3498850"/>
                    </a:xfrm>
                    <a:prstGeom prst="rect">
                      <a:avLst/>
                    </a:prstGeom>
                    <a:noFill/>
                    <a:ln>
                      <a:noFill/>
                    </a:ln>
                  </pic:spPr>
                </pic:pic>
              </a:graphicData>
            </a:graphic>
          </wp:inline>
        </w:drawing>
      </w:r>
    </w:p>
    <w:p w14:paraId="0B6B208E" w14:textId="77777777" w:rsidR="0044246D" w:rsidRPr="004726FD" w:rsidRDefault="0044246D" w:rsidP="004726FD">
      <w:pPr>
        <w:pStyle w:val="aff5"/>
        <w:jc w:val="center"/>
        <w:rPr>
          <w:rFonts w:eastAsia="等线"/>
        </w:rPr>
      </w:pPr>
      <w:r w:rsidRPr="004726FD">
        <w:rPr>
          <w:rFonts w:hint="eastAsia"/>
        </w:rPr>
        <w:t>图六：雪花点纹剑</w:t>
      </w:r>
    </w:p>
    <w:p w14:paraId="27CC930C" w14:textId="77777777" w:rsidR="0044246D" w:rsidRPr="004726FD" w:rsidRDefault="0044246D" w:rsidP="004726FD">
      <w:pPr>
        <w:spacing w:line="360" w:lineRule="auto"/>
        <w:ind w:firstLineChars="200" w:firstLine="480"/>
        <w:rPr>
          <w:rFonts w:eastAsia="PMingLiU" w:cs="Arial"/>
        </w:rPr>
      </w:pPr>
    </w:p>
    <w:p w14:paraId="6E31F452" w14:textId="77777777" w:rsidR="0044246D" w:rsidRPr="004726FD" w:rsidRDefault="0044246D" w:rsidP="004726FD">
      <w:pPr>
        <w:pStyle w:val="aff6"/>
        <w:ind w:firstLine="562"/>
        <w:rPr>
          <w:b/>
          <w:bCs/>
        </w:rPr>
      </w:pPr>
      <w:r w:rsidRPr="004726FD">
        <w:rPr>
          <w:rFonts w:hint="eastAsia"/>
          <w:b/>
          <w:bCs/>
        </w:rPr>
        <w:lastRenderedPageBreak/>
        <w:t>二、相敝剑</w:t>
      </w:r>
    </w:p>
    <w:p w14:paraId="0D76DA24" w14:textId="77777777" w:rsidR="0044246D" w:rsidRPr="00712FE8" w:rsidRDefault="0044246D" w:rsidP="00712FE8">
      <w:pPr>
        <w:pStyle w:val="aff4"/>
        <w:spacing w:before="540" w:after="540"/>
        <w:ind w:firstLine="496"/>
      </w:pPr>
      <w:r w:rsidRPr="00712FE8">
        <w:rPr>
          <w:rFonts w:hint="eastAsia"/>
        </w:rPr>
        <w:t>欲知敝剑以不报者及新器者，之日中，骍。视白坚随㷭上者，及推处白、黑坚分明者，及无文、纵有（EPT40：204）文而在坚中者，及云气相遂，皆敝合人剑也。刀与剑同等。右善剑四事。右敝剑六事。（EPT40：205）</w:t>
      </w:r>
    </w:p>
    <w:p w14:paraId="239B3D5E" w14:textId="77777777" w:rsidR="0044246D" w:rsidRPr="004726FD" w:rsidRDefault="0044246D" w:rsidP="00712FE8">
      <w:pPr>
        <w:pStyle w:val="aff6"/>
        <w:ind w:firstLine="560"/>
        <w:rPr>
          <w:rFonts w:eastAsia="PMingLiU"/>
        </w:rPr>
      </w:pPr>
      <w:r w:rsidRPr="004726FD">
        <w:rPr>
          <w:rFonts w:hint="eastAsia"/>
        </w:rPr>
        <w:t>“</w:t>
      </w:r>
      <w:r w:rsidRPr="004726FD">
        <w:rPr>
          <w:rFonts w:hint="eastAsia"/>
          <w:lang w:val="zh-CN"/>
        </w:rPr>
        <w:t>欲知敝剑以不报者</w:t>
      </w:r>
      <w:r w:rsidRPr="004726FD">
        <w:rPr>
          <w:rFonts w:hint="eastAsia"/>
        </w:rPr>
        <w:t>”，</w:t>
      </w:r>
      <w:r w:rsidRPr="004726FD">
        <w:rPr>
          <w:rFonts w:hint="eastAsia"/>
          <w:lang w:val="zh-CN"/>
        </w:rPr>
        <w:t>《居延新简释粹》</w:t>
      </w:r>
      <w:r w:rsidRPr="004726FD">
        <w:rPr>
          <w:rFonts w:hint="eastAsia"/>
        </w:rPr>
        <w:t>训“报”为“告知”，而将整句翻译为“</w:t>
      </w:r>
      <w:r w:rsidRPr="004726FD">
        <w:rPr>
          <w:rFonts w:hint="eastAsia"/>
          <w:lang w:val="zh-CN"/>
        </w:rPr>
        <w:t>要知道质量差的剑</w:t>
      </w:r>
      <w:r w:rsidRPr="004726FD">
        <w:rPr>
          <w:rFonts w:hint="eastAsia"/>
        </w:rPr>
        <w:t>”，似乎话未说完，回避了“不报”。</w:t>
      </w:r>
      <w:r w:rsidRPr="004726FD">
        <w:rPr>
          <w:rFonts w:hint="eastAsia"/>
          <w:lang w:val="zh-CN"/>
        </w:rPr>
        <w:t>《中国简牍集成》</w:t>
      </w:r>
      <w:r w:rsidRPr="004726FD">
        <w:rPr>
          <w:rFonts w:hint="eastAsia"/>
        </w:rPr>
        <w:t>解为“议论”，谓“剑劣以至不屑论及”，不过“报”并没有“议论”的意思。《汉“相剑刀册”略说》采取新的句读，“欲知敝剑，以不报者及新器者之日中”，这一断句不妥。如果考虑到简文开头的“欲知剑利善、故器者”，则明显可知此处应以“欲知敝剑以不报者及新器者”为句，“利善”与“敝剑以不报”对文，“故器”与“新器”并举，条理井然。陈力解释为“不能给主人带来福报之剑”，《居延汉简相剑刀册释读析疑》《居延汉简〈相利善剑〉覈议》皆从之。</w:t>
      </w:r>
    </w:p>
    <w:p w14:paraId="158E1206" w14:textId="77777777" w:rsidR="0044246D" w:rsidRPr="004726FD" w:rsidRDefault="0044246D" w:rsidP="00712FE8">
      <w:pPr>
        <w:pStyle w:val="aff6"/>
        <w:ind w:firstLine="560"/>
      </w:pPr>
      <w:r w:rsidRPr="004726FD">
        <w:rPr>
          <w:rFonts w:hint="eastAsia"/>
        </w:rPr>
        <w:t>“以”疑读为“似”。“以”“似”汉时相通之例颇多，《汉书·高帝纪》“乡者夫人儿子皆以君”，如淳曰：“言并得君之贵相也。以或作似。”</w:t>
      </w:r>
      <w:r w:rsidRPr="004726FD">
        <w:rPr>
          <w:vertAlign w:val="superscript"/>
        </w:rPr>
        <w:endnoteReference w:id="59"/>
      </w:r>
      <w:r w:rsidRPr="004726FD">
        <w:rPr>
          <w:rFonts w:hint="eastAsia"/>
        </w:rPr>
        <w:t>《史记》作“乡者夫人婴儿皆似君”。</w:t>
      </w:r>
      <w:r w:rsidRPr="004726FD">
        <w:rPr>
          <w:vertAlign w:val="superscript"/>
        </w:rPr>
        <w:endnoteReference w:id="60"/>
      </w:r>
      <w:r w:rsidRPr="004726FD">
        <w:rPr>
          <w:rFonts w:hint="eastAsia"/>
        </w:rPr>
        <w:t>马王堆帛书《阴阳十</w:t>
      </w:r>
      <w:r w:rsidRPr="004726FD">
        <w:rPr>
          <w:rFonts w:hint="eastAsia"/>
        </w:rPr>
        <w:lastRenderedPageBreak/>
        <w:t>一脉灸经·肩脉》甲、乙本：“肩以脱，臑以折。”《灵枢·经脉》作“肩似拔”。</w:t>
      </w:r>
      <w:r w:rsidRPr="004726FD">
        <w:rPr>
          <w:vertAlign w:val="superscript"/>
        </w:rPr>
        <w:endnoteReference w:id="61"/>
      </w:r>
      <w:r w:rsidRPr="004726FD">
        <w:rPr>
          <w:rFonts w:hint="eastAsia"/>
        </w:rPr>
        <w:t>张家山汉简《脉书》：“</w:t>
      </w:r>
      <w:r w:rsidRPr="004726FD">
        <w:rPr>
          <w:rFonts w:ascii="SimSun-ExtB" w:eastAsia="SimSun-ExtB" w:hAnsi="SimSun-ExtB" w:cs="SimSun-ExtB"/>
          <w:noProof/>
          <w:lang w:val="zh-CN"/>
        </w:rPr>
        <w:drawing>
          <wp:inline distT="0" distB="0" distL="0" distR="0" wp14:anchorId="2DE31007" wp14:editId="7AEAA3DF">
            <wp:extent cx="152400" cy="146050"/>
            <wp:effectExtent l="0" t="0" r="0" b="6350"/>
            <wp:docPr id="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4726FD">
        <w:rPr>
          <w:rFonts w:hint="eastAsia"/>
        </w:rPr>
        <w:t>（冲）头，目以脱，项以伐，胸痛，要（腰）以折。”《灵枢·经脉》作“目似脱，项似拔”。</w:t>
      </w:r>
      <w:r w:rsidRPr="004726FD">
        <w:rPr>
          <w:vertAlign w:val="superscript"/>
        </w:rPr>
        <w:endnoteReference w:id="62"/>
      </w:r>
    </w:p>
    <w:p w14:paraId="06561F9D" w14:textId="77777777" w:rsidR="0044246D" w:rsidRPr="004726FD" w:rsidRDefault="0044246D" w:rsidP="00712FE8">
      <w:pPr>
        <w:pStyle w:val="aff6"/>
        <w:ind w:firstLine="560"/>
        <w:rPr>
          <w:rFonts w:eastAsia="PMingLiU"/>
        </w:rPr>
      </w:pPr>
      <w:r w:rsidRPr="004726FD">
        <w:rPr>
          <w:rFonts w:hint="eastAsia"/>
        </w:rPr>
        <w:t>“报”当读为“复”，“报”与“复”音义皆通：</w:t>
      </w:r>
      <w:r w:rsidRPr="004726FD">
        <w:rPr>
          <w:vertAlign w:val="superscript"/>
          <w:lang w:eastAsia="zh-TW"/>
        </w:rPr>
        <w:endnoteReference w:id="63"/>
      </w:r>
    </w:p>
    <w:p w14:paraId="31077CB0" w14:textId="77777777" w:rsidR="0044246D" w:rsidRPr="004726FD" w:rsidRDefault="0044246D" w:rsidP="00712FE8">
      <w:pPr>
        <w:pStyle w:val="aff4"/>
        <w:spacing w:before="540" w:after="540"/>
        <w:ind w:firstLine="496"/>
      </w:pPr>
      <w:r w:rsidRPr="004726FD">
        <w:rPr>
          <w:rFonts w:hint="eastAsia"/>
        </w:rPr>
        <w:t>（16）反此道也，民必因此厚也以复（报）之，可不慎乎？故君子所复（报）之不多，所求之不远，窃反诸己而可以知人。</w:t>
      </w:r>
      <w:r w:rsidRPr="004726FD">
        <w:rPr>
          <w:vertAlign w:val="superscript"/>
        </w:rPr>
        <w:endnoteReference w:id="64"/>
      </w:r>
      <w:r w:rsidRPr="004726FD">
        <w:rPr>
          <w:rFonts w:hint="eastAsia"/>
        </w:rPr>
        <w:t>《郭店楚简·成之闻之》</w:t>
      </w:r>
    </w:p>
    <w:p w14:paraId="07473DB0" w14:textId="77777777" w:rsidR="0044246D" w:rsidRPr="004726FD" w:rsidRDefault="0044246D" w:rsidP="00712FE8">
      <w:pPr>
        <w:pStyle w:val="aff4"/>
        <w:spacing w:before="540" w:after="540"/>
        <w:ind w:firstLine="496"/>
      </w:pPr>
      <w:r w:rsidRPr="004726FD">
        <w:rPr>
          <w:rFonts w:hint="eastAsia"/>
        </w:rPr>
        <w:t>（17）极罚则民多诈，多诈则不忠，不忠则无复（《逸周书·命训》“复”作“报”）。</w:t>
      </w:r>
      <w:r w:rsidRPr="004726FD">
        <w:rPr>
          <w:vertAlign w:val="superscript"/>
        </w:rPr>
        <w:endnoteReference w:id="65"/>
      </w:r>
      <w:r w:rsidRPr="004726FD">
        <w:rPr>
          <w:rFonts w:hint="eastAsia"/>
        </w:rPr>
        <w:t>《清华简·命训》</w:t>
      </w:r>
    </w:p>
    <w:p w14:paraId="531642EE" w14:textId="77777777" w:rsidR="0044246D" w:rsidRPr="004726FD" w:rsidRDefault="0044246D" w:rsidP="00712FE8">
      <w:pPr>
        <w:pStyle w:val="aff4"/>
        <w:spacing w:before="540" w:after="540"/>
        <w:ind w:firstLine="496"/>
      </w:pPr>
      <w:r w:rsidRPr="004726FD">
        <w:rPr>
          <w:rFonts w:hint="eastAsia"/>
        </w:rPr>
        <w:t>（18）靡言不酬，靡德无复（《诗经·大雅·抑》作“无言不雠，无德不报”）。</w:t>
      </w:r>
      <w:r w:rsidRPr="004726FD">
        <w:rPr>
          <w:vertAlign w:val="superscript"/>
        </w:rPr>
        <w:endnoteReference w:id="66"/>
      </w:r>
      <w:r w:rsidRPr="004726FD">
        <w:rPr>
          <w:rFonts w:hint="eastAsia"/>
        </w:rPr>
        <w:t>《郭店楚简·语丛四》</w:t>
      </w:r>
    </w:p>
    <w:p w14:paraId="181294EE" w14:textId="77777777" w:rsidR="0044246D" w:rsidRPr="004726FD" w:rsidRDefault="0044246D" w:rsidP="00712FE8">
      <w:pPr>
        <w:pStyle w:val="aff5"/>
      </w:pPr>
      <w:r w:rsidRPr="004726FD">
        <w:rPr>
          <w:rFonts w:hint="eastAsia"/>
        </w:rPr>
        <w:t>“复”在此应训为“恢复”，《史记·孟尝君列传》“王召孟尝君而复其相位”</w:t>
      </w:r>
      <w:r w:rsidRPr="004726FD">
        <w:rPr>
          <w:vertAlign w:val="superscript"/>
          <w:lang w:eastAsia="zh-TW"/>
        </w:rPr>
        <w:endnoteReference w:id="67"/>
      </w:r>
      <w:r w:rsidRPr="004726FD">
        <w:rPr>
          <w:rFonts w:hint="eastAsia"/>
        </w:rPr>
        <w:t>是也。其后亦可不接宾语，《汉书·爰盎鼌错传》：“窃闻战胜之威，民气百倍；败兵之卒，没世不复。”</w:t>
      </w:r>
      <w:r w:rsidRPr="004726FD">
        <w:rPr>
          <w:vertAlign w:val="superscript"/>
          <w:lang w:eastAsia="zh-TW"/>
        </w:rPr>
        <w:endnoteReference w:id="68"/>
      </w:r>
      <w:r w:rsidRPr="004726FD">
        <w:rPr>
          <w:rFonts w:hint="eastAsia"/>
        </w:rPr>
        <w:t>“欲知敝剑以不报者及新器者”中的“以（似）不报（复）者”是说“像是无法再修复好的剑”。</w:t>
      </w:r>
    </w:p>
    <w:p w14:paraId="1BE83A97" w14:textId="77777777" w:rsidR="0044246D" w:rsidRPr="004726FD" w:rsidRDefault="0044246D" w:rsidP="00712FE8">
      <w:pPr>
        <w:pStyle w:val="aff6"/>
        <w:ind w:firstLine="560"/>
        <w:rPr>
          <w:rFonts w:eastAsia="PMingLiU"/>
        </w:rPr>
      </w:pPr>
      <w:r w:rsidRPr="004726FD">
        <w:rPr>
          <w:rFonts w:hint="eastAsia"/>
        </w:rPr>
        <w:t>“之日中骍”，有两种断句。《居延汉简〈相剑刀〉册初探》最先</w:t>
      </w:r>
      <w:r w:rsidRPr="004726FD">
        <w:rPr>
          <w:rFonts w:hint="eastAsia"/>
        </w:rPr>
        <w:lastRenderedPageBreak/>
        <w:t>断作“之日中，骍”，认为钢铁剑在阳光下隐约可见赤黄斑点，是锻打不精的表现。</w:t>
      </w:r>
      <w:r w:rsidRPr="004726FD">
        <w:rPr>
          <w:rFonts w:hint="eastAsia"/>
          <w:lang w:val="zh-CN"/>
        </w:rPr>
        <w:t>《中国简牍集成》</w:t>
      </w:r>
      <w:r w:rsidRPr="004726FD">
        <w:rPr>
          <w:rFonts w:hint="eastAsia"/>
        </w:rPr>
        <w:t>作“之日中，骍视……”，但未作进一步说明；陈力读“骍”为“挈”，训为“提”，意即“在阳光下持刀剑审视”，《居延汉简〈相利善剑〉覈议》同意此说；《中国碑帖名品》则将“骍视”直接读为“审视”。</w:t>
      </w:r>
    </w:p>
    <w:p w14:paraId="371C7B50" w14:textId="77777777" w:rsidR="0044246D" w:rsidRPr="004726FD" w:rsidRDefault="0044246D" w:rsidP="00712FE8">
      <w:pPr>
        <w:pStyle w:val="aff6"/>
        <w:ind w:firstLine="560"/>
        <w:rPr>
          <w:rFonts w:eastAsia="PMingLiU"/>
        </w:rPr>
      </w:pPr>
      <w:r w:rsidRPr="004726FD">
        <w:rPr>
          <w:rFonts w:hint="eastAsia"/>
        </w:rPr>
        <w:t>关于“骍视”连读的不妥，《居延汉简相剑刀册释读析疑》已做了充分的驳议，其实只要观察简文“视之身中……”“视白坚未至逢……”等语即可知“视”都是一句的开头而不在一句的最后。我们赞同第一种句读，不过对其内涵的理解又与前人不同。</w:t>
      </w:r>
    </w:p>
    <w:p w14:paraId="5AB37857" w14:textId="77777777" w:rsidR="0044246D" w:rsidRPr="004726FD" w:rsidRDefault="0044246D" w:rsidP="00712FE8">
      <w:pPr>
        <w:pStyle w:val="aff6"/>
        <w:ind w:firstLine="560"/>
        <w:rPr>
          <w:rFonts w:eastAsia="PMingLiU"/>
        </w:rPr>
      </w:pPr>
      <w:r w:rsidRPr="004726FD">
        <w:rPr>
          <w:rFonts w:hint="eastAsia"/>
        </w:rPr>
        <w:t>“骍”字本从“</w:t>
      </w:r>
      <w:r w:rsidRPr="004726FD">
        <w:rPr>
          <w:noProof/>
          <w:position w:val="-2"/>
        </w:rPr>
        <w:drawing>
          <wp:inline distT="0" distB="0" distL="0" distR="0" wp14:anchorId="169D9F38" wp14:editId="37F1EEE7">
            <wp:extent cx="152400" cy="152400"/>
            <wp:effectExtent l="0" t="0" r="0" b="0"/>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”作，罗振玉在《殷虚书契考释》中已做过精辟的考证：</w:t>
      </w:r>
    </w:p>
    <w:p w14:paraId="321C7800" w14:textId="77777777" w:rsidR="0044246D" w:rsidRPr="004726FD" w:rsidRDefault="0044246D" w:rsidP="00712FE8">
      <w:pPr>
        <w:pStyle w:val="aff4"/>
        <w:spacing w:before="540" w:after="540"/>
        <w:ind w:firstLine="496"/>
        <w:rPr>
          <w:rFonts w:eastAsia="PMingLiU"/>
        </w:rPr>
      </w:pPr>
      <w:r w:rsidRPr="004726FD">
        <w:rPr>
          <w:rFonts w:hint="eastAsia"/>
        </w:rPr>
        <w:t>《说文》无</w:t>
      </w:r>
      <w:r w:rsidRPr="004726FD">
        <w:rPr>
          <w:noProof/>
          <w:position w:val="-2"/>
        </w:rPr>
        <w:drawing>
          <wp:inline distT="0" distB="0" distL="0" distR="0" wp14:anchorId="5766D94D" wp14:editId="1FAB4075">
            <wp:extent cx="152400" cy="152400"/>
            <wp:effectExtent l="0" t="0" r="0" b="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字，角部：“觲，用角低昂便也。从牛羊角。《诗》曰：‘觲觲角弓。’”土部：“㙚，赤刚土也，从土，觲省声。”案，“觲觲角弓”，今《毛诗》作“骍骍”，赤刚土之㙚，《周礼·草人》亦作骍（原注：故书作挈，形与</w:t>
      </w:r>
      <w:r w:rsidRPr="004726FD">
        <w:rPr>
          <w:noProof/>
          <w:position w:val="-2"/>
        </w:rPr>
        <w:drawing>
          <wp:inline distT="0" distB="0" distL="0" distR="0" wp14:anchorId="07D4880C" wp14:editId="7F73E908">
            <wp:extent cx="152400" cy="152400"/>
            <wp:effectExtent l="0" t="0" r="0" b="0"/>
            <wp:docPr id="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近，殆</w:t>
      </w:r>
      <w:r w:rsidRPr="004726FD">
        <w:rPr>
          <w:noProof/>
          <w:position w:val="-2"/>
        </w:rPr>
        <w:drawing>
          <wp:inline distT="0" distB="0" distL="0" distR="0" wp14:anchorId="1CBFCC59" wp14:editId="050F304D">
            <wp:extent cx="152400" cy="152400"/>
            <wp:effectExtent l="0" t="0" r="0" b="0"/>
            <wp:docPr id="1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字之讹）。知</w:t>
      </w:r>
      <w:r w:rsidRPr="004726FD">
        <w:rPr>
          <w:noProof/>
          <w:position w:val="-2"/>
        </w:rPr>
        <w:drawing>
          <wp:inline distT="0" distB="0" distL="0" distR="0" wp14:anchorId="32BCB5C4" wp14:editId="0C95F819">
            <wp:extent cx="152400" cy="152400"/>
            <wp:effectExtent l="0" t="0" r="0" b="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cs="宋体" w:hint="eastAsia"/>
        </w:rPr>
        <w:t>者即骍之本字矣。许君不知骍有本字作</w:t>
      </w:r>
      <w:r w:rsidRPr="004726FD">
        <w:rPr>
          <w:noProof/>
          <w:position w:val="-2"/>
        </w:rPr>
        <w:drawing>
          <wp:inline distT="0" distB="0" distL="0" distR="0" wp14:anchorId="705B8D07" wp14:editId="033E3D5B">
            <wp:extent cx="152400" cy="152400"/>
            <wp:effectExtent l="0" t="0" r="0" b="0"/>
            <wp:docPr id="10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cs="宋体" w:hint="eastAsia"/>
        </w:rPr>
        <w:t>，乃于觲注曰“</w:t>
      </w:r>
      <w:r w:rsidRPr="004726FD">
        <w:rPr>
          <w:rFonts w:hint="eastAsia"/>
        </w:rPr>
        <w:t>从牛、羊、角</w:t>
      </w:r>
      <w:r w:rsidRPr="004726FD">
        <w:rPr>
          <w:rFonts w:cs="宋体" w:hint="eastAsia"/>
        </w:rPr>
        <w:t>”，于</w:t>
      </w:r>
      <w:r w:rsidRPr="004726FD">
        <w:rPr>
          <w:rFonts w:hint="eastAsia"/>
        </w:rPr>
        <w:t>㙚注曰“从觲省”，皆由未见</w:t>
      </w:r>
      <w:r w:rsidRPr="004726FD">
        <w:rPr>
          <w:noProof/>
          <w:position w:val="-2"/>
        </w:rPr>
        <w:drawing>
          <wp:inline distT="0" distB="0" distL="0" distR="0" wp14:anchorId="05C4909F" wp14:editId="60ECDEF5">
            <wp:extent cx="152400" cy="152400"/>
            <wp:effectExtent l="0" t="0" r="0" b="0"/>
            <wp:docPr id="10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cs="宋体" w:hint="eastAsia"/>
        </w:rPr>
        <w:t>字之故。</w:t>
      </w:r>
      <w:r w:rsidRPr="004726FD">
        <w:rPr>
          <w:rFonts w:cs="宋体"/>
          <w:vertAlign w:val="superscript"/>
        </w:rPr>
        <w:endnoteReference w:id="69"/>
      </w:r>
    </w:p>
    <w:p w14:paraId="09345C0A" w14:textId="77777777" w:rsidR="0044246D" w:rsidRPr="004726FD" w:rsidRDefault="0044246D" w:rsidP="00712FE8">
      <w:pPr>
        <w:pStyle w:val="aff5"/>
        <w:rPr>
          <w:rFonts w:eastAsia="PMingLiU"/>
        </w:rPr>
      </w:pPr>
      <w:r w:rsidRPr="004726FD">
        <w:rPr>
          <w:rFonts w:hint="eastAsia"/>
        </w:rPr>
        <w:lastRenderedPageBreak/>
        <w:t>以“</w:t>
      </w:r>
      <w:r w:rsidRPr="004726FD">
        <w:rPr>
          <w:noProof/>
          <w:position w:val="-2"/>
        </w:rPr>
        <w:drawing>
          <wp:inline distT="0" distB="0" distL="0" distR="0" wp14:anchorId="7A323A80" wp14:editId="73FB4BCA">
            <wp:extent cx="152400" cy="152400"/>
            <wp:effectExtent l="0" t="0" r="0" b="0"/>
            <wp:docPr id="1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”为独立的偏旁、将从“</w:t>
      </w:r>
      <w:r w:rsidRPr="004726FD">
        <w:rPr>
          <w:noProof/>
          <w:position w:val="-2"/>
        </w:rPr>
        <w:drawing>
          <wp:inline distT="0" distB="0" distL="0" distR="0" wp14:anchorId="0A977800" wp14:editId="6FE355F7">
            <wp:extent cx="152400" cy="152400"/>
            <wp:effectExtent l="0" t="0" r="0" b="0"/>
            <wp:docPr id="10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”之字与从“</w:t>
      </w:r>
      <w:r w:rsidRPr="004726FD">
        <w:rPr>
          <w:rFonts w:cs="宋体" w:hint="eastAsia"/>
        </w:rPr>
        <w:t>辛</w:t>
      </w:r>
      <w:r w:rsidRPr="004726FD">
        <w:rPr>
          <w:rFonts w:hint="eastAsia"/>
        </w:rPr>
        <w:t>”之字相联系，皆是。《玉篇·角部》有“觪，角弓调利也，用角便也”，</w:t>
      </w:r>
      <w:r w:rsidRPr="004726FD">
        <w:rPr>
          <w:vertAlign w:val="superscript"/>
        </w:rPr>
        <w:endnoteReference w:id="70"/>
      </w:r>
      <w:r w:rsidRPr="004726FD">
        <w:rPr>
          <w:rFonts w:hint="eastAsia"/>
        </w:rPr>
        <w:t>显然与“觲”为一字。</w:t>
      </w:r>
      <w:r w:rsidRPr="004726FD">
        <w:rPr>
          <w:vertAlign w:val="superscript"/>
        </w:rPr>
        <w:endnoteReference w:id="71"/>
      </w:r>
      <w:r w:rsidRPr="004726FD">
        <w:rPr>
          <w:rFonts w:hint="eastAsia"/>
        </w:rPr>
        <w:t>罗振玉认为“</w:t>
      </w:r>
      <w:r w:rsidRPr="004726FD">
        <w:rPr>
          <w:noProof/>
          <w:position w:val="-2"/>
        </w:rPr>
        <w:drawing>
          <wp:inline distT="0" distB="0" distL="0" distR="0" wp14:anchorId="7F65C6E2" wp14:editId="7E8BCA81">
            <wp:extent cx="152400" cy="152400"/>
            <wp:effectExtent l="0" t="0" r="0" b="0"/>
            <wp:docPr id="10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cs="宋体" w:hint="eastAsia"/>
        </w:rPr>
        <w:t>者即骍之本字</w:t>
      </w:r>
      <w:r w:rsidRPr="004726FD">
        <w:rPr>
          <w:rFonts w:hint="eastAsia"/>
        </w:rPr>
        <w:t>”，商承祚又为“骍”补充了一个后起本字，《说文》新附有</w:t>
      </w:r>
      <w:r w:rsidRPr="004726FD">
        <w:rPr>
          <w:rFonts w:cs="宋体" w:hint="eastAsia"/>
        </w:rPr>
        <w:t>“</w:t>
      </w:r>
      <w:r w:rsidRPr="004726FD">
        <w:rPr>
          <w:rFonts w:ascii="SimSun-ExtB" w:eastAsia="SimSun-ExtB" w:hAnsi="SimSun-ExtB" w:cs="SimSun-ExtB" w:hint="eastAsia"/>
        </w:rPr>
        <w:t>𩥍</w:t>
      </w:r>
      <w:r w:rsidRPr="004726FD">
        <w:rPr>
          <w:rFonts w:hint="eastAsia"/>
        </w:rPr>
        <w:t>，马赤色也，从马觲省</w:t>
      </w:r>
      <w:r w:rsidRPr="004726FD">
        <w:rPr>
          <w:rFonts w:cs="宋体" w:hint="eastAsia"/>
        </w:rPr>
        <w:t>”，“</w:t>
      </w:r>
      <w:r w:rsidRPr="004726FD">
        <w:rPr>
          <w:rFonts w:hint="eastAsia"/>
        </w:rPr>
        <w:t>则‘</w:t>
      </w:r>
      <w:r w:rsidRPr="004726FD">
        <w:rPr>
          <w:rFonts w:ascii="SimSun-ExtB" w:eastAsia="SimSun-ExtB" w:hAnsi="SimSun-ExtB" w:cs="SimSun-ExtB" w:hint="eastAsia"/>
        </w:rPr>
        <w:t>𩥍</w:t>
      </w:r>
      <w:r w:rsidRPr="004726FD">
        <w:rPr>
          <w:rFonts w:hint="eastAsia"/>
        </w:rPr>
        <w:t>’又‘骍’之初字矣”</w:t>
      </w:r>
      <w:r w:rsidRPr="004726FD">
        <w:rPr>
          <w:vertAlign w:val="superscript"/>
        </w:rPr>
        <w:endnoteReference w:id="72"/>
      </w:r>
      <w:r w:rsidRPr="004726FD">
        <w:rPr>
          <w:rFonts w:hint="eastAsia"/>
        </w:rPr>
        <w:t>。“</w:t>
      </w:r>
      <w:r w:rsidRPr="004726FD">
        <w:rPr>
          <w:rFonts w:ascii="SimSun-ExtB" w:eastAsia="SimSun-ExtB" w:hAnsi="SimSun-ExtB" w:cs="SimSun-ExtB" w:hint="eastAsia"/>
        </w:rPr>
        <w:t>𩥍</w:t>
      </w:r>
      <w:r w:rsidRPr="004726FD">
        <w:rPr>
          <w:rFonts w:hint="eastAsia"/>
        </w:rPr>
        <w:t>”指赤色马，“㙚”指赤刚土，《广雅·释器》又有“㷣，赤也”，王念孙《疏证》：“㷣，与</w:t>
      </w:r>
      <w:r w:rsidRPr="004726FD">
        <w:rPr>
          <w:rFonts w:ascii="SimSun-ExtB" w:eastAsia="SimSun-ExtB" w:hAnsi="SimSun-ExtB" w:cs="SimSun-ExtB" w:hint="eastAsia"/>
        </w:rPr>
        <w:t>𩥍</w:t>
      </w:r>
      <w:r w:rsidRPr="004726FD">
        <w:rPr>
          <w:rFonts w:hint="eastAsia"/>
        </w:rPr>
        <w:t>、㙚同义。”</w:t>
      </w:r>
      <w:r w:rsidRPr="004726FD">
        <w:rPr>
          <w:vertAlign w:val="superscript"/>
          <w:lang w:eastAsia="zh-TW"/>
        </w:rPr>
        <w:endnoteReference w:id="73"/>
      </w:r>
      <w:r w:rsidRPr="004726FD">
        <w:rPr>
          <w:rFonts w:hint="eastAsia"/>
        </w:rPr>
        <w:t>《玉篇·牛部》：“</w:t>
      </w:r>
      <w:r w:rsidRPr="004726FD">
        <w:rPr>
          <w:rFonts w:ascii="SimSun-ExtB" w:eastAsia="SimSun-ExtB" w:hAnsi="SimSun-ExtB" w:cs="SimSun-ExtB" w:hint="eastAsia"/>
        </w:rPr>
        <w:t>𤙡</w:t>
      </w:r>
      <w:r w:rsidRPr="004726FD">
        <w:rPr>
          <w:rFonts w:hint="eastAsia"/>
        </w:rPr>
        <w:t>，赤牛。”</w:t>
      </w:r>
      <w:r w:rsidRPr="004726FD">
        <w:rPr>
          <w:vertAlign w:val="superscript"/>
          <w:lang w:eastAsia="zh-TW"/>
        </w:rPr>
        <w:endnoteReference w:id="74"/>
      </w:r>
      <w:r w:rsidRPr="004726FD">
        <w:rPr>
          <w:rFonts w:hint="eastAsia"/>
        </w:rPr>
        <w:t>可知从“</w:t>
      </w:r>
      <w:r w:rsidRPr="004726FD">
        <w:rPr>
          <w:noProof/>
          <w:position w:val="-2"/>
        </w:rPr>
        <w:drawing>
          <wp:inline distT="0" distB="0" distL="0" distR="0" wp14:anchorId="53E4A130" wp14:editId="05087EB1">
            <wp:extent cx="152400" cy="152400"/>
            <wp:effectExtent l="0" t="0" r="0" b="0"/>
            <wp:docPr id="1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”之字有红色义。铜器的红色也用这个词，如吴国铜器《者减钟》：“择其吉金，自作谣钟，不帛（白）不</w:t>
      </w:r>
      <w:r w:rsidRPr="004726FD">
        <w:rPr>
          <w:noProof/>
          <w:position w:val="-2"/>
        </w:rPr>
        <w:drawing>
          <wp:inline distT="0" distB="0" distL="0" distR="0" wp14:anchorId="31F0EE05" wp14:editId="02E8059E">
            <wp:extent cx="152400" cy="152400"/>
            <wp:effectExtent l="0" t="0" r="0" b="0"/>
            <wp:docPr id="1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,不泺（浊）不清。”是说铸造此钟所用的青铜合金，既不偏白又不偏红，既不浑浊又不过清，追求适中。张政烺曰“谓金锡之齐得中”</w:t>
      </w:r>
      <w:r w:rsidRPr="004726FD">
        <w:rPr>
          <w:vertAlign w:val="superscript"/>
          <w:lang w:eastAsia="zh-TW"/>
        </w:rPr>
        <w:endnoteReference w:id="75"/>
      </w:r>
      <w:r w:rsidRPr="004726FD">
        <w:rPr>
          <w:rFonts w:hint="eastAsia"/>
        </w:rPr>
        <w:t>，是也。</w:t>
      </w:r>
    </w:p>
    <w:p w14:paraId="38BB9C69" w14:textId="77777777" w:rsidR="0044246D" w:rsidRPr="004726FD" w:rsidRDefault="0044246D" w:rsidP="00712FE8">
      <w:pPr>
        <w:pStyle w:val="aff6"/>
        <w:ind w:firstLine="560"/>
        <w:rPr>
          <w:rFonts w:eastAsia="PMingLiU"/>
        </w:rPr>
      </w:pPr>
      <w:r w:rsidRPr="004726FD">
        <w:rPr>
          <w:rFonts w:hint="eastAsia"/>
        </w:rPr>
        <w:t>我们知道，古代的青铜最普遍的一种即是铜锡合金。含铜量较高的纯铜、自然铜，具有红色的金属光泽，故亦称“红铜”。</w:t>
      </w:r>
      <w:r w:rsidRPr="004726FD">
        <w:rPr>
          <w:vertAlign w:val="superscript"/>
          <w:lang w:eastAsia="zh-TW"/>
        </w:rPr>
        <w:endnoteReference w:id="76"/>
      </w:r>
      <w:r w:rsidRPr="004726FD">
        <w:rPr>
          <w:rFonts w:hint="eastAsia"/>
        </w:rPr>
        <w:t>而随着锡含量的增加，锡青铜由红变黄，锡大于20%时将转白。</w:t>
      </w:r>
      <w:r w:rsidRPr="004726FD">
        <w:rPr>
          <w:vertAlign w:val="superscript"/>
        </w:rPr>
        <w:endnoteReference w:id="77"/>
      </w:r>
      <w:r w:rsidRPr="004726FD">
        <w:rPr>
          <w:rFonts w:hint="eastAsia"/>
        </w:rPr>
        <w:t>青铜兵器就是一种典型的铜锡合金，简文说剑在日光下呈红色，其实是含铜量过高的表现，故而谓之敝剑。</w:t>
      </w:r>
    </w:p>
    <w:p w14:paraId="106C4B81" w14:textId="77777777" w:rsidR="0044246D" w:rsidRPr="004726FD" w:rsidRDefault="0044246D" w:rsidP="00712FE8">
      <w:pPr>
        <w:pStyle w:val="aff6"/>
        <w:ind w:firstLine="560"/>
      </w:pPr>
      <w:r w:rsidRPr="004726FD">
        <w:rPr>
          <w:rFonts w:hint="eastAsia"/>
        </w:rPr>
        <w:t>此处“日中”无疑是指时间段，“日中”就是“中日”。汉代“日中”是常见的时间词，汉简中极为多见。“之”训“往”，“之日中”是</w:t>
      </w:r>
      <w:r w:rsidRPr="004726FD">
        <w:rPr>
          <w:rFonts w:hint="eastAsia"/>
        </w:rPr>
        <w:lastRenderedPageBreak/>
        <w:t>指一个时间移动的过程，指接近中午时，剑看去会呈现红色。</w:t>
      </w:r>
    </w:p>
    <w:p w14:paraId="259941CC" w14:textId="77777777" w:rsidR="0044246D" w:rsidRPr="004726FD" w:rsidRDefault="0044246D" w:rsidP="00712FE8">
      <w:pPr>
        <w:pStyle w:val="aff6"/>
        <w:ind w:firstLine="560"/>
        <w:rPr>
          <w:rFonts w:eastAsia="PMingLiU"/>
        </w:rPr>
      </w:pPr>
      <w:r w:rsidRPr="004726FD">
        <w:rPr>
          <w:rFonts w:hint="eastAsia"/>
        </w:rPr>
        <w:t>为什么要在“日中”看剑？这其中有五行观念的影响。《抱朴子•杂应》篇说：</w:t>
      </w:r>
    </w:p>
    <w:p w14:paraId="037DEFDA" w14:textId="77777777" w:rsidR="0044246D" w:rsidRPr="004726FD" w:rsidRDefault="0044246D" w:rsidP="00712FE8">
      <w:pPr>
        <w:pStyle w:val="aff4"/>
        <w:spacing w:before="540" w:after="540"/>
        <w:ind w:firstLine="496"/>
      </w:pPr>
      <w:r w:rsidRPr="004726FD">
        <w:rPr>
          <w:rFonts w:hint="eastAsia"/>
        </w:rPr>
        <w:t>或问辟五兵之道。抱朴子答曰：“吾闻吴大皇帝曾从介先生受要道云，但知书北斗字及日月字，便不畏白刃。帝以试左右数十人，常为先登锋陷阵，皆终身不伤也。郑君云，但诵五兵名亦有验。……临战时，常细祝之。或以五月五日作赤灵符，著心前。或丙午日日中时，作燕君龙虎三囊符。岁符岁易之，月符月易之，日符日易之。或佩西王母兵信之符，或佩荧惑朱雀之符，或佩南极铄金之符，或戴却刃之符，祝融之符。或傅玉札散，或浴禁葱汤，或取牡荆以作六阴神将符，符指敌人。或以月蚀时刻，三千岁蟾蜍喉下有八字者血，以书所持之刀剑。或带武威符荧火丸。或交锋刃之际，乘魁履刚，呼四方之长，亦有明効。今世之人，亦有得禁辟五兵之道，往往有之。”</w:t>
      </w:r>
      <w:r w:rsidRPr="004726FD">
        <w:rPr>
          <w:vertAlign w:val="superscript"/>
        </w:rPr>
        <w:endnoteReference w:id="78"/>
      </w:r>
    </w:p>
    <w:p w14:paraId="11672F47" w14:textId="77777777" w:rsidR="0044246D" w:rsidRPr="004726FD" w:rsidRDefault="0044246D" w:rsidP="00712FE8">
      <w:pPr>
        <w:pStyle w:val="aff5"/>
        <w:rPr>
          <w:rFonts w:eastAsia="PMingLiU"/>
        </w:rPr>
      </w:pPr>
      <w:r w:rsidRPr="004726FD">
        <w:rPr>
          <w:rFonts w:hint="eastAsia"/>
        </w:rPr>
        <w:t>《仙药》篇又说：“肉芝者，谓万岁蟾蜍，头上有角，颔下有丹书八字再重，以五月五日日中时取之，阴干百日，以其左足画地，即为流水，带其左手于身，辟五兵，若敌人射己者，弓弩矢皆反还自向也。”</w:t>
      </w:r>
      <w:r w:rsidRPr="004726FD">
        <w:rPr>
          <w:vertAlign w:val="superscript"/>
          <w:lang w:eastAsia="zh-TW"/>
        </w:rPr>
        <w:endnoteReference w:id="79"/>
      </w:r>
      <w:r w:rsidRPr="004726FD">
        <w:rPr>
          <w:rFonts w:hint="eastAsia"/>
        </w:rPr>
        <w:t>是蟾蜍辟兵的另一种用法。</w:t>
      </w:r>
    </w:p>
    <w:p w14:paraId="3E8D694C" w14:textId="77777777" w:rsidR="0044246D" w:rsidRPr="004726FD" w:rsidRDefault="0044246D" w:rsidP="00712FE8">
      <w:pPr>
        <w:pStyle w:val="aff6"/>
        <w:ind w:firstLine="560"/>
        <w:rPr>
          <w:rFonts w:eastAsia="PMingLiU"/>
        </w:rPr>
      </w:pPr>
      <w:r w:rsidRPr="004726FD">
        <w:rPr>
          <w:rFonts w:hint="eastAsia"/>
        </w:rPr>
        <w:lastRenderedPageBreak/>
        <w:t>无独有偶，两处辟兵之术都强调了“五月五日日中时”，说明在当时的术数理念看来，兵器与日中有着密切的关联。实际上非独兵器，与金属冶铸相关的活动在选择时间时都经常选择日中，即中午。《论衡·率性》篇曰：“阳遂取火于天，五月丙午日中之时，消炼五石，铸以为器，磨砺生光，仰以向日，则火来至，此真取火之道也。”</w:t>
      </w:r>
      <w:r w:rsidRPr="004726FD">
        <w:rPr>
          <w:vertAlign w:val="superscript"/>
          <w:lang w:eastAsia="zh-TW"/>
        </w:rPr>
        <w:endnoteReference w:id="80"/>
      </w:r>
      <w:r w:rsidRPr="004726FD">
        <w:rPr>
          <w:rFonts w:hint="eastAsia"/>
        </w:rPr>
        <w:t>说的就是铸造铜镜的时间选择。出土汉代镜铭也印证了王充的说法：</w:t>
      </w:r>
    </w:p>
    <w:p w14:paraId="520D4C6B" w14:textId="77777777" w:rsidR="0044246D" w:rsidRPr="004726FD" w:rsidRDefault="0044246D" w:rsidP="00712FE8">
      <w:pPr>
        <w:pStyle w:val="aff4"/>
        <w:spacing w:before="540" w:after="540"/>
        <w:ind w:firstLine="496"/>
      </w:pPr>
      <w:r w:rsidRPr="004726FD">
        <w:rPr>
          <w:rFonts w:hint="eastAsia"/>
        </w:rPr>
        <w:t>（19）吾作明竟（镜），幽湅（炼）三刚，周（雕）刻无极，众羲主阳，圣德神明，五月五日丙午日中，时得三光，制作师，照见人刑（形），位至三公，子孙吉昌。（东汉“吾作”变形四叶兽首镜）</w:t>
      </w:r>
      <w:r w:rsidRPr="004726FD">
        <w:rPr>
          <w:vertAlign w:val="superscript"/>
        </w:rPr>
        <w:endnoteReference w:id="81"/>
      </w:r>
    </w:p>
    <w:p w14:paraId="63398D78" w14:textId="77777777" w:rsidR="0044246D" w:rsidRPr="004726FD" w:rsidRDefault="0044246D" w:rsidP="00712FE8">
      <w:pPr>
        <w:pStyle w:val="aff4"/>
        <w:spacing w:before="540" w:after="540"/>
        <w:ind w:firstLine="496"/>
        <w:rPr>
          <w:rFonts w:eastAsia="PMingLiU"/>
        </w:rPr>
      </w:pPr>
      <w:r w:rsidRPr="004726FD">
        <w:rPr>
          <w:rFonts w:hint="eastAsia"/>
        </w:rPr>
        <w:t>（20）大（太）岁在丁巳，帝道始平，五月丙午，时加日中，造作明竟（镜）。（嘉兴元年铭神兽镜）</w:t>
      </w:r>
      <w:r w:rsidRPr="004726FD">
        <w:rPr>
          <w:vertAlign w:val="superscript"/>
        </w:rPr>
        <w:endnoteReference w:id="82"/>
      </w:r>
    </w:p>
    <w:p w14:paraId="31F52450" w14:textId="77777777" w:rsidR="0044246D" w:rsidRPr="004726FD" w:rsidRDefault="0044246D" w:rsidP="00712FE8">
      <w:pPr>
        <w:pStyle w:val="aff4"/>
        <w:spacing w:before="540" w:after="540"/>
        <w:ind w:firstLine="496"/>
      </w:pPr>
      <w:r w:rsidRPr="004726FD">
        <w:t>（</w:t>
      </w:r>
      <w:r w:rsidRPr="004726FD">
        <w:rPr>
          <w:rFonts w:hint="eastAsia"/>
        </w:rPr>
        <w:t>21）</w:t>
      </w:r>
      <w:r w:rsidRPr="004726FD">
        <w:t>章和元年五月丙午日中作，服之宜子孙为缑（侯）。（东汉章和元年铭龙虎镜）</w:t>
      </w:r>
      <w:r w:rsidRPr="004726FD">
        <w:rPr>
          <w:rFonts w:ascii="Times New Roman" w:hAnsi="Times New Roman"/>
          <w:vertAlign w:val="superscript"/>
        </w:rPr>
        <w:endnoteReference w:id="83"/>
      </w:r>
    </w:p>
    <w:p w14:paraId="247EE43C" w14:textId="77777777" w:rsidR="0044246D" w:rsidRPr="004726FD" w:rsidRDefault="0044246D" w:rsidP="00712FE8">
      <w:pPr>
        <w:pStyle w:val="aff5"/>
        <w:rPr>
          <w:rFonts w:eastAsia="PMingLiU"/>
        </w:rPr>
      </w:pPr>
      <w:r w:rsidRPr="004726FD">
        <w:rPr>
          <w:rFonts w:hint="eastAsia"/>
        </w:rPr>
        <w:t>最末一例，王纲怀已指出，章和元年七月改元，五月尚属元和四年，纪月铭文恐非真实，“‘五月丙午日中’既是道家认为的‘火月火日火时’观念，又为冶炼过程中‘火’克‘金’的吉时”。</w:t>
      </w:r>
      <w:r w:rsidRPr="004726FD">
        <w:rPr>
          <w:vertAlign w:val="superscript"/>
          <w:lang w:eastAsia="zh-TW"/>
        </w:rPr>
        <w:endnoteReference w:id="84"/>
      </w:r>
      <w:r w:rsidRPr="004726FD">
        <w:rPr>
          <w:rFonts w:hint="eastAsia"/>
        </w:rPr>
        <w:t>其实除了“五”“午”“日中”以外，“丙”也代表火，《说文·丙部》：</w:t>
      </w:r>
      <w:r w:rsidRPr="004726FD">
        <w:rPr>
          <w:rFonts w:hint="eastAsia"/>
        </w:rPr>
        <w:lastRenderedPageBreak/>
        <w:t>“丙，位南方，万物成炳然。”</w:t>
      </w:r>
      <w:r w:rsidRPr="004726FD">
        <w:rPr>
          <w:vertAlign w:val="superscript"/>
        </w:rPr>
        <w:endnoteReference w:id="85"/>
      </w:r>
      <w:r w:rsidRPr="004726FD">
        <w:rPr>
          <w:rFonts w:hint="eastAsia"/>
        </w:rPr>
        <w:t>丙位于南方，亦属火。《左传·昭公十七年》：“其以丙子若壬午作乎？”注：“丙、午，火。”正义曰：“丙是火日，午是火位，……故丙、午为火。”</w:t>
      </w:r>
      <w:r w:rsidRPr="004726FD">
        <w:rPr>
          <w:vertAlign w:val="superscript"/>
          <w:lang w:eastAsia="zh-TW"/>
        </w:rPr>
        <w:endnoteReference w:id="86"/>
      </w:r>
    </w:p>
    <w:p w14:paraId="33069D1A" w14:textId="77777777" w:rsidR="0044246D" w:rsidRPr="004726FD" w:rsidRDefault="0044246D" w:rsidP="00712FE8">
      <w:pPr>
        <w:pStyle w:val="aff6"/>
        <w:ind w:firstLine="560"/>
        <w:rPr>
          <w:rFonts w:eastAsia="PMingLiU"/>
        </w:rPr>
      </w:pPr>
      <w:r w:rsidRPr="004726FD">
        <w:rPr>
          <w:rFonts w:hint="eastAsia"/>
        </w:rPr>
        <w:t>《吕氏春秋·制乐》：“荧惑在心。”高诱注：“荧惑，五星之一，火之精也。”</w:t>
      </w:r>
      <w:r w:rsidRPr="004726FD">
        <w:rPr>
          <w:vertAlign w:val="superscript"/>
        </w:rPr>
        <w:endnoteReference w:id="87"/>
      </w:r>
      <w:r w:rsidRPr="004726FD">
        <w:rPr>
          <w:rFonts w:ascii="等线" w:hAnsi="等线" w:hint="eastAsia"/>
        </w:rPr>
        <w:t>上引《</w:t>
      </w:r>
      <w:r w:rsidRPr="004726FD">
        <w:rPr>
          <w:rFonts w:hint="eastAsia"/>
        </w:rPr>
        <w:t>抱朴子•</w:t>
      </w:r>
      <w:r w:rsidRPr="004726FD">
        <w:rPr>
          <w:rFonts w:ascii="等线" w:hAnsi="等线" w:hint="eastAsia"/>
        </w:rPr>
        <w:t>杂应》篇所记载的符信，或有“朱雀”“南极”等南方标志，或有“祝融”“荧惑”等与火神、火精相关的内容，就是为了以火克金，以达到“烁金”（熔化金属）、“却刃”的辟兵目的。</w:t>
      </w:r>
      <w:r w:rsidRPr="004726FD">
        <w:rPr>
          <w:rFonts w:hint="eastAsia"/>
        </w:rPr>
        <w:t>冶炼青铜器都需要火，包括铜镜、铜剑皆然，一些相关的活动就在火日日中这个时间举行。选择“日中”这个“火时”相剑，除了日光强烈易于看清的原因之外，恐怕与以火克金的五行观念同样密不可分。</w:t>
      </w:r>
    </w:p>
    <w:p w14:paraId="1FC5B6FA" w14:textId="77777777" w:rsidR="0044246D" w:rsidRPr="004726FD" w:rsidRDefault="0044246D" w:rsidP="00712FE8">
      <w:pPr>
        <w:pStyle w:val="aff6"/>
        <w:ind w:firstLine="560"/>
        <w:rPr>
          <w:rFonts w:eastAsia="PMingLiU"/>
        </w:rPr>
      </w:pPr>
      <w:r w:rsidRPr="004726FD">
        <w:rPr>
          <w:rFonts w:ascii="等线" w:hAnsi="等线" w:hint="eastAsia"/>
        </w:rPr>
        <w:t>青铜复合剑的剑脊与剑从系分两次铸造。以越王州句剑为例，研究者认为铸造此剑应分四次完成：</w:t>
      </w:r>
      <w:r w:rsidRPr="004726FD">
        <w:rPr>
          <w:rFonts w:hint="eastAsia"/>
          <w:lang w:val="zh-CN"/>
        </w:rPr>
        <w:t>首先铸出带剑茎内蕊的剑脊</w:t>
      </w:r>
      <w:r w:rsidRPr="004726FD">
        <w:rPr>
          <w:rFonts w:hint="eastAsia"/>
        </w:rPr>
        <w:t>，</w:t>
      </w:r>
      <w:r w:rsidRPr="004726FD">
        <w:rPr>
          <w:rFonts w:hint="eastAsia"/>
          <w:lang w:val="zh-CN"/>
        </w:rPr>
        <w:t>然后将剑脊置于铸造剑从的陶范中</w:t>
      </w:r>
      <w:r w:rsidRPr="004726FD">
        <w:rPr>
          <w:rFonts w:hint="eastAsia"/>
        </w:rPr>
        <w:t>（</w:t>
      </w:r>
      <w:r w:rsidRPr="004726FD">
        <w:rPr>
          <w:rFonts w:hint="eastAsia"/>
          <w:lang w:val="zh-CN"/>
        </w:rPr>
        <w:t>图七</w:t>
      </w:r>
      <w:r w:rsidRPr="004726FD">
        <w:rPr>
          <w:rFonts w:hint="eastAsia"/>
        </w:rPr>
        <w:t>），</w:t>
      </w:r>
      <w:r w:rsidRPr="004726FD">
        <w:rPr>
          <w:rFonts w:hint="eastAsia"/>
          <w:lang w:val="zh-CN"/>
        </w:rPr>
        <w:t>经高温烘焙后</w:t>
      </w:r>
      <w:r w:rsidRPr="004726FD">
        <w:rPr>
          <w:rFonts w:hint="eastAsia"/>
        </w:rPr>
        <w:t>，</w:t>
      </w:r>
      <w:r w:rsidRPr="004726FD">
        <w:rPr>
          <w:rFonts w:hint="eastAsia"/>
          <w:lang w:val="zh-CN"/>
        </w:rPr>
        <w:t>往陶范中浇注剑从成分的青铜液。剑从凝固收缩时，即紧紧包住剑脊部的榫头，使之结合成整体。随后再铸出格、茎、箍等各部位，最后铸出剑首。</w:t>
      </w:r>
      <w:r w:rsidRPr="004726FD">
        <w:rPr>
          <w:vertAlign w:val="superscript"/>
          <w:lang w:val="zh-CN"/>
        </w:rPr>
        <w:endnoteReference w:id="88"/>
      </w:r>
      <w:r w:rsidRPr="004726FD">
        <w:rPr>
          <w:rFonts w:hint="eastAsia"/>
          <w:lang w:val="zh-CN"/>
        </w:rPr>
        <w:t>所谓</w:t>
      </w:r>
      <w:r w:rsidRPr="004726FD">
        <w:rPr>
          <w:rFonts w:ascii="等线" w:hAnsi="等线" w:hint="eastAsia"/>
        </w:rPr>
        <w:t>“白坚随</w:t>
      </w:r>
      <w:r w:rsidRPr="004726FD">
        <w:rPr>
          <w:rFonts w:hint="eastAsia"/>
        </w:rPr>
        <w:t>㷭（缝）上</w:t>
      </w:r>
      <w:r w:rsidRPr="004726FD">
        <w:rPr>
          <w:rFonts w:ascii="等线" w:hAnsi="等线" w:hint="eastAsia"/>
        </w:rPr>
        <w:t>”，指的就是铜剑中的高锡成分过多，溢在两部分的接缝上。“推处白、黑坚分明”则是说椎锻处的白、黑坚融</w:t>
      </w:r>
      <w:r w:rsidRPr="004726FD">
        <w:rPr>
          <w:rFonts w:ascii="等线" w:hAnsi="等线" w:hint="eastAsia"/>
        </w:rPr>
        <w:lastRenderedPageBreak/>
        <w:t>合得不佳，或不够平整，缝隙较大，易受侵蚀，这些都属于不好的现象。</w:t>
      </w:r>
    </w:p>
    <w:p w14:paraId="7F096810" w14:textId="77777777" w:rsidR="0044246D" w:rsidRPr="004726FD" w:rsidRDefault="0044246D" w:rsidP="00712FE8">
      <w:pPr>
        <w:keepNext/>
        <w:spacing w:line="360" w:lineRule="auto"/>
        <w:jc w:val="center"/>
        <w:rPr>
          <w:rFonts w:cs="Arial"/>
        </w:rPr>
      </w:pPr>
      <w:r w:rsidRPr="004726FD">
        <w:rPr>
          <w:rFonts w:cs="Arial"/>
          <w:noProof/>
        </w:rPr>
        <w:drawing>
          <wp:inline distT="0" distB="0" distL="0" distR="0" wp14:anchorId="1A2C4309" wp14:editId="2F14726F">
            <wp:extent cx="3492500" cy="1974850"/>
            <wp:effectExtent l="0" t="0" r="0" b="6350"/>
            <wp:docPr id="1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2500" cy="1974850"/>
                    </a:xfrm>
                    <a:prstGeom prst="rect">
                      <a:avLst/>
                    </a:prstGeom>
                    <a:noFill/>
                    <a:ln>
                      <a:noFill/>
                    </a:ln>
                  </pic:spPr>
                </pic:pic>
              </a:graphicData>
            </a:graphic>
          </wp:inline>
        </w:drawing>
      </w:r>
    </w:p>
    <w:p w14:paraId="26EA2673" w14:textId="77777777" w:rsidR="0044246D" w:rsidRPr="004726FD" w:rsidRDefault="0044246D" w:rsidP="00712FE8">
      <w:pPr>
        <w:pStyle w:val="aff5"/>
        <w:jc w:val="center"/>
        <w:rPr>
          <w:rFonts w:ascii="等线" w:eastAsia="PMingLiU" w:hAnsi="等线"/>
          <w:sz w:val="20"/>
          <w:szCs w:val="20"/>
        </w:rPr>
      </w:pPr>
      <w:r w:rsidRPr="004726FD">
        <w:rPr>
          <w:rFonts w:hint="eastAsia"/>
        </w:rPr>
        <w:t>图七：青铜复合剑铸造示意图</w:t>
      </w:r>
    </w:p>
    <w:p w14:paraId="7FD1CE55" w14:textId="77777777" w:rsidR="0044246D" w:rsidRPr="004726FD" w:rsidRDefault="0044246D" w:rsidP="00712FE8">
      <w:pPr>
        <w:pStyle w:val="aff6"/>
        <w:ind w:firstLine="560"/>
        <w:rPr>
          <w:rFonts w:eastAsia="PMingLiU"/>
        </w:rPr>
      </w:pPr>
      <w:r w:rsidRPr="004726FD">
        <w:rPr>
          <w:rFonts w:hint="eastAsia"/>
        </w:rPr>
        <w:t>“无文”，</w:t>
      </w:r>
      <w:r w:rsidRPr="004726FD">
        <w:rPr>
          <w:rFonts w:ascii="等线" w:hAnsi="等线" w:hint="eastAsia"/>
        </w:rPr>
        <w:t>《淮南子·</w:t>
      </w:r>
      <w:r w:rsidRPr="004726FD">
        <w:rPr>
          <w:rFonts w:hint="eastAsia"/>
        </w:rPr>
        <w:t>修务》：“今剑或绝侧羸文，啮缺卷銋，而称以顷襄之剑，则贵人争带之。”高诱注：“绝无侧，羸无文，啮齿卷銋，钝弊无刃，托之为楚顷襄王所服剑，故贵人慕而争带之。”</w:t>
      </w:r>
      <w:r w:rsidRPr="004726FD">
        <w:rPr>
          <w:vertAlign w:val="superscript"/>
          <w:lang w:val="zh-CN"/>
        </w:rPr>
        <w:endnoteReference w:id="89"/>
      </w:r>
      <w:r w:rsidRPr="004726FD">
        <w:rPr>
          <w:rFonts w:hint="eastAsia"/>
        </w:rPr>
        <w:t>讽刺了汉代盲目崇尚古剑之风，同时也反映出剑没有纹饰在一般情况下确实被视作不好的表征。</w:t>
      </w:r>
    </w:p>
    <w:p w14:paraId="2EE59ACD" w14:textId="77777777" w:rsidR="0044246D" w:rsidRPr="004726FD" w:rsidRDefault="0044246D" w:rsidP="00712FE8">
      <w:pPr>
        <w:pStyle w:val="aff6"/>
        <w:ind w:firstLine="560"/>
      </w:pPr>
      <w:r w:rsidRPr="004726FD">
        <w:rPr>
          <w:rFonts w:hint="eastAsia"/>
        </w:rPr>
        <w:t>“纵”，纵令、即使。《史记·魏公子列传》：“且公子纵轻胜，弃之降秦，独不怜公子姊邪？”</w:t>
      </w:r>
      <w:r w:rsidRPr="004726FD">
        <w:rPr>
          <w:vertAlign w:val="superscript"/>
        </w:rPr>
        <w:endnoteReference w:id="90"/>
      </w:r>
      <w:r w:rsidRPr="004726FD">
        <w:rPr>
          <w:rFonts w:hint="eastAsia"/>
        </w:rPr>
        <w:t>词义相同。</w:t>
      </w:r>
    </w:p>
    <w:p w14:paraId="39707121" w14:textId="77777777" w:rsidR="0044246D" w:rsidRPr="004726FD" w:rsidRDefault="0044246D" w:rsidP="00712FE8">
      <w:pPr>
        <w:pStyle w:val="aff6"/>
        <w:ind w:firstLine="560"/>
        <w:rPr>
          <w:rFonts w:eastAsia="PMingLiU"/>
        </w:rPr>
      </w:pPr>
      <w:r w:rsidRPr="004726FD">
        <w:rPr>
          <w:rFonts w:hint="eastAsia"/>
        </w:rPr>
        <w:t>“坚中”，《居延汉简〈相剑刀〉册初探》以为</w:t>
      </w:r>
      <w:r w:rsidRPr="004726FD">
        <w:rPr>
          <w:rFonts w:hint="eastAsia"/>
          <w:kern w:val="0"/>
          <w:szCs w:val="24"/>
          <w:lang w:val="zh-CN"/>
        </w:rPr>
        <w:t>当指剑刀的钢刃口</w:t>
      </w:r>
      <w:r w:rsidRPr="004726FD">
        <w:rPr>
          <w:rFonts w:hint="eastAsia"/>
          <w:kern w:val="0"/>
          <w:szCs w:val="24"/>
        </w:rPr>
        <w:t>，</w:t>
      </w:r>
      <w:r w:rsidRPr="004726FD">
        <w:rPr>
          <w:rFonts w:hint="eastAsia"/>
          <w:kern w:val="0"/>
          <w:szCs w:val="24"/>
          <w:lang w:val="zh-CN"/>
        </w:rPr>
        <w:t>春秋战国青铜花纹剑及后世钢质剑刀</w:t>
      </w:r>
      <w:r w:rsidRPr="004726FD">
        <w:rPr>
          <w:rFonts w:hint="eastAsia"/>
          <w:kern w:val="0"/>
          <w:szCs w:val="24"/>
        </w:rPr>
        <w:t>的</w:t>
      </w:r>
      <w:r w:rsidRPr="004726FD">
        <w:rPr>
          <w:rFonts w:hint="eastAsia"/>
          <w:kern w:val="0"/>
          <w:szCs w:val="24"/>
          <w:lang w:val="zh-CN"/>
        </w:rPr>
        <w:t>文理一般都在剑脊与剑刃之间的</w:t>
      </w:r>
      <w:r w:rsidRPr="004726FD">
        <w:rPr>
          <w:rFonts w:hint="eastAsia"/>
          <w:kern w:val="0"/>
          <w:szCs w:val="24"/>
        </w:rPr>
        <w:t>“</w:t>
      </w:r>
      <w:r w:rsidRPr="004726FD">
        <w:rPr>
          <w:rFonts w:hint="eastAsia"/>
          <w:kern w:val="0"/>
          <w:szCs w:val="24"/>
          <w:lang w:val="zh-CN"/>
        </w:rPr>
        <w:t>身中</w:t>
      </w:r>
      <w:r w:rsidRPr="004726FD">
        <w:rPr>
          <w:rFonts w:hint="eastAsia"/>
          <w:kern w:val="0"/>
          <w:szCs w:val="24"/>
        </w:rPr>
        <w:t>”，</w:t>
      </w:r>
      <w:r w:rsidRPr="004726FD">
        <w:rPr>
          <w:rFonts w:hint="eastAsia"/>
          <w:kern w:val="0"/>
          <w:szCs w:val="24"/>
          <w:lang w:val="zh-CN"/>
        </w:rPr>
        <w:t>两刃不见文理。</w:t>
      </w:r>
      <w:r w:rsidRPr="004726FD">
        <w:rPr>
          <w:rFonts w:hint="eastAsia"/>
          <w:lang w:val="zh-CN"/>
        </w:rPr>
        <w:t>《中国简牍集成》</w:t>
      </w:r>
      <w:r w:rsidRPr="004726FD">
        <w:rPr>
          <w:rFonts w:hint="eastAsia"/>
          <w:kern w:val="0"/>
          <w:szCs w:val="24"/>
          <w:lang w:val="zh-CN"/>
        </w:rPr>
        <w:t>的认识正相反，认为</w:t>
      </w:r>
      <w:r w:rsidRPr="004726FD">
        <w:rPr>
          <w:rFonts w:hint="eastAsia"/>
        </w:rPr>
        <w:t>剑之脊部不得有花纹，故“坚中”为剑脊。沈云韬的认识与</w:t>
      </w:r>
      <w:r w:rsidRPr="004726FD">
        <w:rPr>
          <w:rFonts w:hint="eastAsia"/>
          <w:lang w:val="zh-CN"/>
        </w:rPr>
        <w:t>后者</w:t>
      </w:r>
      <w:r w:rsidRPr="004726FD">
        <w:rPr>
          <w:rFonts w:hint="eastAsia"/>
        </w:rPr>
        <w:t>接</w:t>
      </w:r>
      <w:r w:rsidRPr="004726FD">
        <w:rPr>
          <w:rFonts w:hint="eastAsia"/>
        </w:rPr>
        <w:lastRenderedPageBreak/>
        <w:t>近，</w:t>
      </w:r>
      <w:r w:rsidRPr="004726FD">
        <w:rPr>
          <w:rFonts w:hint="eastAsia"/>
          <w:kern w:val="0"/>
          <w:szCs w:val="24"/>
          <w:lang w:val="zh-CN"/>
        </w:rPr>
        <w:t>谓“坚中”为“中间坚硬之处”。我们认为这些说法都存在问题：既然“白坚”和“黑坚”均为“坚”，文理不在坚中就既不该在剑脊也不该在刃口。只有</w:t>
      </w:r>
      <w:r w:rsidRPr="004726FD">
        <w:rPr>
          <w:rFonts w:hint="eastAsia"/>
          <w:lang w:val="zh-CN"/>
        </w:rPr>
        <w:t>《居延新简释粹》</w:t>
      </w:r>
      <w:r w:rsidRPr="004726FD">
        <w:rPr>
          <w:rFonts w:hint="eastAsia"/>
          <w:kern w:val="0"/>
          <w:szCs w:val="24"/>
          <w:lang w:val="zh-CN"/>
        </w:rPr>
        <w:t>跳出了脊刃的窠臼，</w:t>
      </w:r>
      <w:r w:rsidRPr="004726FD">
        <w:rPr>
          <w:rFonts w:hint="eastAsia"/>
        </w:rPr>
        <w:t>它说：“这里的文，非指剑上的纹饰，似指剑中的理文，‘有文而在坚中’，其意甚明。”我们同意</w:t>
      </w:r>
      <w:r w:rsidRPr="004726FD">
        <w:rPr>
          <w:rFonts w:hint="eastAsia"/>
          <w:lang w:val="zh-CN"/>
        </w:rPr>
        <w:t>《居延新简释粹》</w:t>
      </w:r>
      <w:r w:rsidRPr="004726FD">
        <w:rPr>
          <w:rFonts w:hint="eastAsia"/>
        </w:rPr>
        <w:t>的看法，并拟结合青铜剑纹饰制作工艺来说明这一问题。</w:t>
      </w:r>
    </w:p>
    <w:p w14:paraId="29B0E3D8" w14:textId="77777777" w:rsidR="0044246D" w:rsidRPr="004726FD" w:rsidRDefault="0044246D" w:rsidP="00712FE8">
      <w:pPr>
        <w:pStyle w:val="aff6"/>
        <w:ind w:firstLine="560"/>
        <w:rPr>
          <w:rFonts w:eastAsia="PMingLiU"/>
        </w:rPr>
      </w:pPr>
      <w:r w:rsidRPr="004726FD">
        <w:rPr>
          <w:rFonts w:hint="eastAsia"/>
        </w:rPr>
        <w:t>战国青铜剑中较为华丽细腻的纹饰，有相当一部分并非在铸造过程中产生，而是在铸造完成后，运用各种表面加工工艺完成的。著名的菱形暗格文，见于越王勾践剑（图八）、吴王夫差剑等王级别武器中，经学者研究系通过金属膏剂涂层处理工艺达成。</w:t>
      </w:r>
      <w:r w:rsidRPr="004726FD">
        <w:rPr>
          <w:vertAlign w:val="superscript"/>
          <w:lang w:eastAsia="zh-TW"/>
        </w:rPr>
        <w:endnoteReference w:id="91"/>
      </w:r>
      <w:r w:rsidRPr="004726FD">
        <w:rPr>
          <w:rFonts w:hint="eastAsia"/>
        </w:rPr>
        <w:t>即</w:t>
      </w:r>
      <w:r w:rsidRPr="004726FD">
        <w:rPr>
          <w:rFonts w:hint="eastAsia"/>
          <w:lang w:val="zh-CN"/>
        </w:rPr>
        <w:t>用锡基合金粉末涂覆于青铜剑表面</w:t>
      </w:r>
      <w:r w:rsidRPr="004726FD">
        <w:rPr>
          <w:rFonts w:hint="eastAsia"/>
        </w:rPr>
        <w:t>，</w:t>
      </w:r>
      <w:r w:rsidRPr="004726FD">
        <w:rPr>
          <w:rFonts w:hint="eastAsia"/>
          <w:lang w:val="zh-CN"/>
        </w:rPr>
        <w:t>经加热使合金成分扩散到青铜剑基体之中。上涂料部分即成白色，未上涂料部分仍然是黄色，形成黄白相间、闪闪发光的菱形花纹。研究还发现，白色部分不仅富锡，还生成细晶区，因而耐蚀性大为提高。经过千百年墓葬中腐殖酸水溶液的浸泡腐蚀，青铜剑体和菱形纹饰由于耐腐蚀性能有别，从而形成黑—白灰相间的所谓菱形暗格纹。</w:t>
      </w:r>
      <w:r w:rsidRPr="004726FD">
        <w:rPr>
          <w:vertAlign w:val="superscript"/>
          <w:lang w:val="zh-CN" w:eastAsia="zh-TW"/>
        </w:rPr>
        <w:endnoteReference w:id="92"/>
      </w:r>
      <w:r w:rsidRPr="004726FD">
        <w:rPr>
          <w:rFonts w:hint="eastAsia"/>
          <w:lang w:val="zh-CN"/>
        </w:rPr>
        <w:t>对江苏六合程桥菱形纹青铜剑的修复也证实了此工艺的可行性。</w:t>
      </w:r>
      <w:r w:rsidRPr="004726FD">
        <w:rPr>
          <w:vertAlign w:val="superscript"/>
          <w:lang w:val="zh-CN" w:eastAsia="zh-TW"/>
        </w:rPr>
        <w:endnoteReference w:id="93"/>
      </w:r>
    </w:p>
    <w:p w14:paraId="02219BAE" w14:textId="5DDCA821" w:rsidR="0044246D" w:rsidRPr="004726FD" w:rsidRDefault="0044246D" w:rsidP="00712FE8">
      <w:pPr>
        <w:keepNext/>
        <w:spacing w:line="360" w:lineRule="auto"/>
        <w:jc w:val="center"/>
        <w:rPr>
          <w:rFonts w:cs="Arial"/>
        </w:rPr>
      </w:pPr>
      <w:r w:rsidRPr="004726FD">
        <w:rPr>
          <w:rFonts w:cs="Arial"/>
          <w:noProof/>
        </w:rPr>
        <w:lastRenderedPageBreak/>
        <w:drawing>
          <wp:inline distT="0" distB="0" distL="0" distR="0" wp14:anchorId="3E76E5B7" wp14:editId="72576BB4">
            <wp:extent cx="2819400" cy="2882900"/>
            <wp:effectExtent l="0" t="0" r="0" b="0"/>
            <wp:docPr id="11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882900"/>
                    </a:xfrm>
                    <a:prstGeom prst="rect">
                      <a:avLst/>
                    </a:prstGeom>
                    <a:noFill/>
                    <a:ln>
                      <a:noFill/>
                    </a:ln>
                  </pic:spPr>
                </pic:pic>
              </a:graphicData>
            </a:graphic>
          </wp:inline>
        </w:drawing>
      </w:r>
    </w:p>
    <w:p w14:paraId="55349AEF" w14:textId="3D64C4BF" w:rsidR="0044246D" w:rsidRDefault="0044246D" w:rsidP="00712FE8">
      <w:pPr>
        <w:pStyle w:val="aff5"/>
        <w:jc w:val="center"/>
      </w:pPr>
      <w:r w:rsidRPr="004726FD">
        <w:rPr>
          <w:rFonts w:hint="eastAsia"/>
        </w:rPr>
        <w:t>图八：越王勾践剑</w:t>
      </w:r>
      <w:r w:rsidRPr="004726FD">
        <w:rPr>
          <w:vertAlign w:val="superscript"/>
        </w:rPr>
        <w:endnoteReference w:id="94"/>
      </w:r>
    </w:p>
    <w:p w14:paraId="5B3C4752" w14:textId="3288EFAE" w:rsidR="0044246D" w:rsidRDefault="0044246D" w:rsidP="00712FE8">
      <w:pPr>
        <w:tabs>
          <w:tab w:val="left" w:pos="4962"/>
        </w:tabs>
        <w:spacing w:line="360" w:lineRule="auto"/>
        <w:jc w:val="center"/>
        <w:rPr>
          <w:rFonts w:ascii="等线 Light" w:eastAsia="黑体" w:hAnsi="等线 Light"/>
          <w:sz w:val="18"/>
          <w:szCs w:val="18"/>
        </w:rPr>
      </w:pPr>
      <w:r w:rsidRPr="004726FD">
        <w:rPr>
          <w:rFonts w:cs="Arial"/>
          <w:noProof/>
        </w:rPr>
        <w:drawing>
          <wp:inline distT="0" distB="0" distL="0" distR="0" wp14:anchorId="4A5FA659" wp14:editId="527D90C1">
            <wp:extent cx="2178050" cy="4121150"/>
            <wp:effectExtent l="0" t="0" r="0" b="0"/>
            <wp:docPr id="1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050" cy="4121150"/>
                    </a:xfrm>
                    <a:prstGeom prst="rect">
                      <a:avLst/>
                    </a:prstGeom>
                    <a:noFill/>
                    <a:ln>
                      <a:noFill/>
                    </a:ln>
                  </pic:spPr>
                </pic:pic>
              </a:graphicData>
            </a:graphic>
          </wp:inline>
        </w:drawing>
      </w:r>
    </w:p>
    <w:p w14:paraId="5E5E1D41" w14:textId="5E28B889" w:rsidR="0044246D" w:rsidRPr="004726FD" w:rsidRDefault="0044246D" w:rsidP="00712FE8">
      <w:pPr>
        <w:pStyle w:val="aff5"/>
        <w:jc w:val="center"/>
        <w:rPr>
          <w:rFonts w:eastAsia="等线"/>
        </w:rPr>
      </w:pPr>
      <w:r w:rsidRPr="004726FD">
        <w:rPr>
          <w:rFonts w:hint="eastAsia"/>
        </w:rPr>
        <w:t>图九：苏州博物馆藏鎏金菱形纹剑</w:t>
      </w:r>
    </w:p>
    <w:p w14:paraId="5B95258C" w14:textId="77777777" w:rsidR="0044246D" w:rsidRPr="004726FD" w:rsidRDefault="0044246D" w:rsidP="00712FE8">
      <w:pPr>
        <w:pStyle w:val="aff6"/>
        <w:ind w:firstLine="560"/>
        <w:rPr>
          <w:lang w:val="zh-CN" w:eastAsia="zh-TW"/>
        </w:rPr>
      </w:pPr>
      <w:r w:rsidRPr="004726FD">
        <w:rPr>
          <w:rFonts w:hint="eastAsia"/>
        </w:rPr>
        <w:lastRenderedPageBreak/>
        <w:t>又如苏州博物馆藏鎏金菱形纹剑（图九），</w:t>
      </w:r>
      <w:r w:rsidRPr="004726FD">
        <w:rPr>
          <w:rFonts w:hint="eastAsia"/>
          <w:lang w:val="zh-CN"/>
        </w:rPr>
        <w:t>剑身两面装饰网格状的菱形纹</w:t>
      </w:r>
      <w:r w:rsidRPr="004726FD">
        <w:rPr>
          <w:rFonts w:hint="eastAsia"/>
        </w:rPr>
        <w:t>，</w:t>
      </w:r>
      <w:r w:rsidRPr="004726FD">
        <w:rPr>
          <w:rFonts w:hint="eastAsia"/>
          <w:lang w:val="zh-CN"/>
        </w:rPr>
        <w:t>网格的斜线分为左、右两组</w:t>
      </w:r>
      <w:r w:rsidRPr="004726FD">
        <w:rPr>
          <w:rFonts w:hint="eastAsia"/>
        </w:rPr>
        <w:t>，</w:t>
      </w:r>
      <w:r w:rsidRPr="004726FD">
        <w:rPr>
          <w:rFonts w:hint="eastAsia"/>
          <w:lang w:val="zh-CN"/>
        </w:rPr>
        <w:t>各三十条</w:t>
      </w:r>
      <w:r w:rsidRPr="004726FD">
        <w:rPr>
          <w:rFonts w:hint="eastAsia"/>
        </w:rPr>
        <w:t>，</w:t>
      </w:r>
      <w:r w:rsidRPr="004726FD">
        <w:rPr>
          <w:rFonts w:hint="eastAsia"/>
          <w:lang w:val="zh-CN"/>
        </w:rPr>
        <w:t>上下线条交叉处涂有不明物作间隔而不通连。经放大</w:t>
      </w:r>
      <w:r w:rsidRPr="004726FD">
        <w:rPr>
          <w:rFonts w:hint="eastAsia"/>
          <w:lang w:val="zh-CN" w:eastAsia="zh-TW"/>
        </w:rPr>
        <w:t>30</w:t>
      </w:r>
      <w:r w:rsidRPr="004726FD">
        <w:rPr>
          <w:rFonts w:hint="eastAsia"/>
          <w:lang w:val="zh-CN"/>
        </w:rPr>
        <w:t>倍观察，饰金区下无凹槽，密度较松，其间缝隙有铜锈，因而推断为器表鎏金工艺。</w:t>
      </w:r>
      <w:r w:rsidRPr="004726FD">
        <w:rPr>
          <w:vertAlign w:val="superscript"/>
          <w:lang w:val="zh-CN" w:eastAsia="zh-TW"/>
        </w:rPr>
        <w:endnoteReference w:id="95"/>
      </w:r>
    </w:p>
    <w:p w14:paraId="03CE6206" w14:textId="77777777" w:rsidR="0044246D" w:rsidRPr="004726FD" w:rsidRDefault="0044246D" w:rsidP="00712FE8">
      <w:pPr>
        <w:pStyle w:val="aff6"/>
        <w:ind w:firstLine="560"/>
        <w:rPr>
          <w:rFonts w:eastAsia="PMingLiU"/>
        </w:rPr>
      </w:pPr>
      <w:r w:rsidRPr="004726FD">
        <w:rPr>
          <w:rFonts w:hint="eastAsia"/>
          <w:lang w:val="zh-CN"/>
        </w:rPr>
        <w:t>这些精美的铜剑纹饰都未深入剑身，对剑的基体没有产生破坏，同时兼具防腐作用，应属当时上等的武器装备技术。其纹饰“肉眼即可见与兵器间有明显之分界，花纹部分之材料又似已熔入兵器基体材料之中”，“滑指纹饰区上，有些微凸起之感”，在视觉与触觉两方面都有相当鲜明的特点，可以为不具备现代科技手段的相剑者所感知，并与其它镶嵌、凿刻的花纹相区别。笔者认为，简册所肯定的“不在坚中”的花纹应是由这类在剑表进行的、不伤及剑身基体的</w:t>
      </w:r>
      <w:r w:rsidRPr="004726FD">
        <w:rPr>
          <w:rFonts w:hint="eastAsia"/>
        </w:rPr>
        <w:t>金属膏剂涂层或鎏金工艺造就的。</w:t>
      </w:r>
    </w:p>
    <w:p w14:paraId="1F9344D1" w14:textId="77777777" w:rsidR="0044246D" w:rsidRPr="004726FD" w:rsidRDefault="0044246D" w:rsidP="00712FE8">
      <w:pPr>
        <w:pStyle w:val="aff6"/>
        <w:ind w:firstLine="560"/>
        <w:rPr>
          <w:rFonts w:eastAsia="PMingLiU"/>
        </w:rPr>
      </w:pPr>
      <w:r w:rsidRPr="004726FD">
        <w:rPr>
          <w:rFonts w:hint="eastAsia"/>
        </w:rPr>
        <w:t>“云气相遂”，此句以往皆不解，缘于把“遂”如字读，训为“顺”。其实这里的“遂”字是作为“逐”字用的。汉代“遂”“逐”两字常混用，马王堆帛书《周易》第42行上《丰》上六爻辞“三岁不遂”，张政烺注“遂，王弼本作觌。帛书中逐字多书作遂，疑此亦逐字，假作觌”</w:t>
      </w:r>
      <w:r w:rsidRPr="004726FD">
        <w:rPr>
          <w:vertAlign w:val="superscript"/>
          <w:lang w:eastAsia="zh-TW"/>
        </w:rPr>
        <w:endnoteReference w:id="96"/>
      </w:r>
      <w:r w:rsidRPr="004726FD">
        <w:rPr>
          <w:rFonts w:hint="eastAsia"/>
        </w:rPr>
        <w:t>已指出这一用字习惯，帛书《周易》的例子还有不少：</w:t>
      </w:r>
    </w:p>
    <w:p w14:paraId="6FC3C816" w14:textId="77777777" w:rsidR="0044246D" w:rsidRPr="004726FD" w:rsidRDefault="0044246D" w:rsidP="00712FE8">
      <w:pPr>
        <w:pStyle w:val="aff4"/>
        <w:spacing w:before="540" w:after="540"/>
        <w:ind w:firstLine="496"/>
        <w:rPr>
          <w:rFonts w:eastAsia="PMingLiU"/>
        </w:rPr>
      </w:pPr>
      <w:r w:rsidRPr="004726FD">
        <w:rPr>
          <w:rFonts w:hint="eastAsia"/>
        </w:rPr>
        <w:lastRenderedPageBreak/>
        <w:t>（22）《既济》：“六二，妇亡亓（其）发（茀），勿遂〈逐〉，七日得。”（26上）</w:t>
      </w:r>
    </w:p>
    <w:p w14:paraId="44DFDCBE" w14:textId="77777777" w:rsidR="0044246D" w:rsidRPr="004726FD" w:rsidRDefault="0044246D" w:rsidP="00712FE8">
      <w:pPr>
        <w:pStyle w:val="aff4"/>
        <w:spacing w:before="540" w:after="540"/>
        <w:ind w:firstLine="496"/>
        <w:rPr>
          <w:rFonts w:eastAsia="PMingLiU"/>
        </w:rPr>
      </w:pPr>
      <w:r w:rsidRPr="004726FD">
        <w:rPr>
          <w:rFonts w:hint="eastAsia"/>
        </w:rPr>
        <w:t>（23）《震》：“六二，辰（震）来</w:t>
      </w:r>
      <w:r w:rsidRPr="004726FD">
        <w:rPr>
          <w:rFonts w:ascii="中华书局宋体02平面" w:eastAsia="中华书局宋体02平面" w:hAnsi="中华书局宋体02平面" w:cs="中华书局宋体02平面" w:hint="eastAsia"/>
        </w:rPr>
        <w:t>𭙿</w:t>
      </w:r>
      <w:r w:rsidRPr="004726FD">
        <w:rPr>
          <w:rFonts w:hint="eastAsia"/>
        </w:rPr>
        <w:t>（厉），意（亿）亡贝，齍（跻）于九陵，勿遂〈逐〉，七日得。”（31下）</w:t>
      </w:r>
    </w:p>
    <w:p w14:paraId="5B243C77" w14:textId="77777777" w:rsidR="0044246D" w:rsidRPr="004726FD" w:rsidRDefault="0044246D" w:rsidP="00712FE8">
      <w:pPr>
        <w:pStyle w:val="aff4"/>
        <w:spacing w:before="540" w:after="540"/>
        <w:ind w:firstLine="496"/>
        <w:rPr>
          <w:rFonts w:eastAsia="PMingLiU"/>
        </w:rPr>
      </w:pPr>
      <w:r w:rsidRPr="004726FD">
        <w:rPr>
          <w:rFonts w:hint="eastAsia"/>
        </w:rPr>
        <w:t>（24）《睽》：“初九，悔亡，亡马勿遂〈逐〉，自复。”（75上）</w:t>
      </w:r>
    </w:p>
    <w:p w14:paraId="18307A19" w14:textId="77777777" w:rsidR="0044246D" w:rsidRPr="004726FD" w:rsidRDefault="0044246D" w:rsidP="00712FE8">
      <w:pPr>
        <w:pStyle w:val="aff5"/>
        <w:rPr>
          <w:rFonts w:eastAsia="PMingLiU"/>
        </w:rPr>
      </w:pPr>
      <w:r w:rsidRPr="004726FD">
        <w:rPr>
          <w:rFonts w:hint="eastAsia"/>
        </w:rPr>
        <w:t>此外马王堆帛书《经法》第63行下亦有“外内遂诤，则危都国”，“遂诤”即“逐争”。</w:t>
      </w:r>
      <w:r w:rsidRPr="004726FD">
        <w:rPr>
          <w:vertAlign w:val="superscript"/>
          <w:lang w:eastAsia="zh-TW"/>
        </w:rPr>
        <w:endnoteReference w:id="97"/>
      </w:r>
    </w:p>
    <w:p w14:paraId="16C8D4E5" w14:textId="77777777" w:rsidR="0044246D" w:rsidRPr="004726FD" w:rsidRDefault="0044246D" w:rsidP="00712FE8">
      <w:pPr>
        <w:pStyle w:val="aff6"/>
        <w:ind w:firstLine="560"/>
        <w:rPr>
          <w:rFonts w:eastAsia="PMingLiU"/>
        </w:rPr>
      </w:pPr>
      <w:r w:rsidRPr="004726FD">
        <w:rPr>
          <w:rFonts w:hint="eastAsia"/>
        </w:rPr>
        <w:t>银雀山汉简、北大汉简中亦有不少“遂”用为“逐”之例：</w:t>
      </w:r>
    </w:p>
    <w:p w14:paraId="319C176E" w14:textId="77777777" w:rsidR="0044246D" w:rsidRPr="004726FD" w:rsidRDefault="0044246D" w:rsidP="00712FE8">
      <w:pPr>
        <w:pStyle w:val="aff4"/>
        <w:spacing w:before="540" w:after="540"/>
        <w:ind w:firstLine="496"/>
        <w:rPr>
          <w:rFonts w:eastAsia="PMingLiU"/>
        </w:rPr>
      </w:pPr>
      <w:r w:rsidRPr="004726FD">
        <w:rPr>
          <w:rFonts w:hint="eastAsia"/>
        </w:rPr>
        <w:t>（25）天下如遂〈逐〉野鹿。（银雀山汉简《六韬》683，宋本作“取天下者若逐野兽”）</w:t>
      </w:r>
      <w:r w:rsidRPr="004726FD">
        <w:rPr>
          <w:vertAlign w:val="superscript"/>
        </w:rPr>
        <w:endnoteReference w:id="98"/>
      </w:r>
    </w:p>
    <w:p w14:paraId="4C3BA051" w14:textId="77777777" w:rsidR="0044246D" w:rsidRPr="004726FD" w:rsidRDefault="0044246D" w:rsidP="00712FE8">
      <w:pPr>
        <w:pStyle w:val="aff4"/>
        <w:spacing w:before="540" w:after="540"/>
        <w:ind w:firstLine="496"/>
        <w:rPr>
          <w:rFonts w:eastAsia="PMingLiU"/>
        </w:rPr>
      </w:pPr>
      <w:r w:rsidRPr="004726FD">
        <w:rPr>
          <w:rFonts w:hint="eastAsia"/>
        </w:rPr>
        <w:t>（26）汤以篡（选）【卒】七千人遂〈逐〉桀。（银雀山汉简论政论兵之类《选卒》1233）</w:t>
      </w:r>
      <w:r w:rsidRPr="004726FD">
        <w:rPr>
          <w:vertAlign w:val="superscript"/>
        </w:rPr>
        <w:endnoteReference w:id="99"/>
      </w:r>
    </w:p>
    <w:p w14:paraId="26821699" w14:textId="77777777" w:rsidR="0044246D" w:rsidRPr="004726FD" w:rsidRDefault="0044246D" w:rsidP="00712FE8">
      <w:pPr>
        <w:pStyle w:val="aff4"/>
        <w:spacing w:before="540" w:after="540"/>
        <w:ind w:firstLine="496"/>
        <w:rPr>
          <w:rFonts w:eastAsia="PMingLiU"/>
        </w:rPr>
      </w:pPr>
      <w:r w:rsidRPr="004726FD">
        <w:rPr>
          <w:rFonts w:hint="eastAsia"/>
        </w:rPr>
        <w:t>（27）朝劝出弃，莫（暮）趣（促）遂〈逐〉去。女（汝）枕春之臂宿，遂〈逐〉其脥（胁）下。（北大汉简《妄稽》简86、71）</w:t>
      </w:r>
      <w:r w:rsidRPr="004726FD">
        <w:rPr>
          <w:rFonts w:ascii="等线" w:hAnsi="等线"/>
          <w:vertAlign w:val="superscript"/>
        </w:rPr>
        <w:endnoteReference w:id="100"/>
      </w:r>
    </w:p>
    <w:p w14:paraId="67A9B6E2" w14:textId="77777777" w:rsidR="0044246D" w:rsidRPr="004726FD" w:rsidRDefault="0044246D" w:rsidP="00712FE8">
      <w:pPr>
        <w:pStyle w:val="aff4"/>
        <w:spacing w:before="540" w:after="540"/>
        <w:ind w:firstLine="496"/>
      </w:pPr>
      <w:r w:rsidRPr="004726FD">
        <w:rPr>
          <w:rFonts w:hint="eastAsia"/>
        </w:rPr>
        <w:t>（28）舜之所爱子曰商均，舜启道（导）之，欲其能贤，学（教）之而不可，乃放遂〈逐〉之。（北大汉简《周驯》简180-181）</w:t>
      </w:r>
      <w:r w:rsidRPr="004726FD">
        <w:rPr>
          <w:vertAlign w:val="superscript"/>
        </w:rPr>
        <w:endnoteReference w:id="101"/>
      </w:r>
    </w:p>
    <w:p w14:paraId="74D9EAFE" w14:textId="77777777" w:rsidR="0044246D" w:rsidRPr="004726FD" w:rsidRDefault="0044246D" w:rsidP="00712FE8">
      <w:pPr>
        <w:pStyle w:val="aff6"/>
        <w:ind w:firstLine="560"/>
      </w:pPr>
      <w:r w:rsidRPr="004726FD">
        <w:rPr>
          <w:rFonts w:hint="eastAsia"/>
        </w:rPr>
        <w:lastRenderedPageBreak/>
        <w:t>典籍中“某”与“某”相逐的说法很多，如《史记·殷本纪》：“以酒为池，县肉为林，使男女倮相逐其闲，为长夜之饮。”</w:t>
      </w:r>
      <w:r w:rsidRPr="004726FD">
        <w:rPr>
          <w:rFonts w:ascii="等线" w:eastAsia="等线" w:hAnsi="等线"/>
          <w:vertAlign w:val="superscript"/>
          <w:lang w:eastAsia="zh-TW"/>
        </w:rPr>
        <w:endnoteReference w:id="102"/>
      </w:r>
      <w:r w:rsidRPr="004726FD">
        <w:rPr>
          <w:rFonts w:hint="eastAsia"/>
        </w:rPr>
        <w:t>又如《焦氏易林·复之大畜》：“南邦大国，鬼魅满室。</w:t>
      </w:r>
      <w:r w:rsidRPr="004726FD">
        <w:rPr>
          <w:noProof/>
          <w:lang w:val="zh-CN"/>
        </w:rPr>
        <w:drawing>
          <wp:inline distT="0" distB="0" distL="0" distR="0" wp14:anchorId="187EF0A5" wp14:editId="58E2BA57">
            <wp:extent cx="152400" cy="152400"/>
            <wp:effectExtent l="0" t="0" r="0" b="0"/>
            <wp:docPr id="1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726FD">
        <w:rPr>
          <w:rFonts w:hint="eastAsia"/>
        </w:rPr>
        <w:t>声相逐，为我行贼。”</w:t>
      </w:r>
      <w:r w:rsidRPr="004726FD">
        <w:rPr>
          <w:vertAlign w:val="superscript"/>
          <w:lang w:eastAsia="zh-TW"/>
        </w:rPr>
        <w:endnoteReference w:id="103"/>
      </w:r>
      <w:r w:rsidRPr="004726FD">
        <w:rPr>
          <w:rFonts w:hint="eastAsia"/>
        </w:rPr>
        <w:t>“相逐”为两者跟随追逐之意。“云气相逐”即“云”和“气”互相跟随追逐。云气两者纠缠，古人认为属于不好的文理。</w:t>
      </w:r>
    </w:p>
    <w:p w14:paraId="67190BE1" w14:textId="77777777" w:rsidR="0044246D" w:rsidRPr="004726FD" w:rsidRDefault="0044246D" w:rsidP="00712FE8">
      <w:pPr>
        <w:pStyle w:val="aff6"/>
        <w:ind w:firstLine="560"/>
      </w:pPr>
      <w:r w:rsidRPr="004726FD">
        <w:rPr>
          <w:rFonts w:hint="eastAsia"/>
        </w:rPr>
        <w:t>“皆敝合人剑也”，《居延汉简〈相剑刀〉册初探》释为“这些剑都是拙劣的仿制品”，不过将“合人”训为“仿制”实在没有什么根据。陈力认为是“敝合之剑”之误，“合”指合剂，即调和金属材料，《居延汉简〈相宝剑刀〉册研究综述》《居延汉简相剑刀册释读析疑》都已经做了反驳。《居延汉简相剑刀册释读析疑》又提出应理解为“敝、合人剑”，而“合人剑”可能有两种意思，或是指剑虽弊却能“与人相合”“不妨害人”，或是因“合”有交锋之义，而引申为“易与人交锋、引发祸端的剑”。其实“合”表示“交锋”是从“会合”义引申而来，如《孙子·行军》“兵怒而相迎，久而不合，又不相去，必谨察之”</w:t>
      </w:r>
      <w:r w:rsidRPr="004726FD">
        <w:rPr>
          <w:vertAlign w:val="superscript"/>
        </w:rPr>
        <w:endnoteReference w:id="104"/>
      </w:r>
      <w:r w:rsidRPr="004726FD">
        <w:rPr>
          <w:rFonts w:hint="eastAsia"/>
        </w:rPr>
        <w:t>，《史记·高祖本纪》“淮阴先合，不利，却”</w:t>
      </w:r>
      <w:r w:rsidRPr="004726FD">
        <w:rPr>
          <w:vertAlign w:val="superscript"/>
        </w:rPr>
        <w:endnoteReference w:id="105"/>
      </w:r>
      <w:r w:rsidRPr="004726FD">
        <w:rPr>
          <w:rFonts w:hint="eastAsia"/>
        </w:rPr>
        <w:t>等，皆做不及物动词，断不会用“合人”来表示“与人交锋”。至于前者，我们则认为正与原意相反。《居延汉简〈相利善剑〉覈议》将“人”改释为“入”，所谓“敝合入剑”是指“在冶炼和锻制过程中杂质剔除不净或工艺不到位，</w:t>
      </w:r>
      <w:r w:rsidRPr="004726FD">
        <w:rPr>
          <w:rFonts w:hint="eastAsia"/>
        </w:rPr>
        <w:lastRenderedPageBreak/>
        <w:t>皆羼入剑中”。这样理解的疑点是“皆敝合人（或入）剑”是对上文所有不好的剑的表现的总结，这其中当然也包含“无文”，显然不能视作杂质羼入所致，而应该是出于吉凶观念的评价。</w:t>
      </w:r>
    </w:p>
    <w:p w14:paraId="46E9AF73" w14:textId="77777777" w:rsidR="0044246D" w:rsidRPr="004726FD" w:rsidRDefault="0044246D" w:rsidP="00712FE8">
      <w:pPr>
        <w:pStyle w:val="aff6"/>
        <w:ind w:firstLine="560"/>
      </w:pPr>
      <w:r w:rsidRPr="004726FD">
        <w:rPr>
          <w:rFonts w:hint="eastAsia"/>
        </w:rPr>
        <w:t>从文意看，这里的“敝合人剑”应该是指“敝和人相当”的意思。“合”训“当”“对”，《尔雅·释诂》：“合，对也。”郝懿行疏曰：“凡物相对谓之合，四方上下谓之六合。《淮南·原道》篇注云：‘孟春与孟秋为合，仲春与仲秋为合，季春与季秋为合，孟夏与孟冬为合，仲夏与仲冬为合，季夏与季冬为合，故曰六合。’是合皆取相对之意。”</w:t>
      </w:r>
      <w:r w:rsidRPr="004726FD">
        <w:rPr>
          <w:vertAlign w:val="superscript"/>
        </w:rPr>
        <w:endnoteReference w:id="106"/>
      </w:r>
      <w:r w:rsidRPr="004726FD">
        <w:rPr>
          <w:rFonts w:hint="eastAsia"/>
        </w:rPr>
        <w:t>在用法上，当、对义的“合”后也可接宾语。《孙子·地形》：“将不能料敌，以少合众，以弱击强，兵无选锋，曰北。”</w:t>
      </w:r>
      <w:r w:rsidRPr="004726FD">
        <w:rPr>
          <w:vertAlign w:val="superscript"/>
          <w:lang w:eastAsia="zh-TW"/>
        </w:rPr>
        <w:endnoteReference w:id="107"/>
      </w:r>
      <w:r w:rsidRPr="004726FD">
        <w:rPr>
          <w:rFonts w:hint="eastAsia"/>
        </w:rPr>
        <w:t>鲍彪本《战国策·秦策一》：“一可以合十，十可以合百，百可以合千，千可以合万，万可以胜天下矣。”王引之曰：“《韩子·初见秦》篇‘合’并作‘对’。”</w:t>
      </w:r>
      <w:r w:rsidRPr="004726FD">
        <w:rPr>
          <w:vertAlign w:val="superscript"/>
          <w:lang w:eastAsia="zh-TW"/>
        </w:rPr>
        <w:endnoteReference w:id="108"/>
      </w:r>
      <w:r w:rsidRPr="004726FD">
        <w:rPr>
          <w:rFonts w:hint="eastAsia"/>
        </w:rPr>
        <w:t>“敝对人”实际就是指剑之敝会和人“相当”“相应”，即妨害带剑人的意思。结合“善剑四事”末尾提到的“加以善（吉祥）”，“敝合人剑”即指凶不利、妨害主人之剑，简文的结构是十分严整的。</w:t>
      </w:r>
    </w:p>
    <w:p w14:paraId="0DFC9A29" w14:textId="77777777" w:rsidR="0044246D" w:rsidRPr="004726FD" w:rsidRDefault="0044246D" w:rsidP="004726FD">
      <w:pPr>
        <w:spacing w:line="360" w:lineRule="auto"/>
        <w:ind w:firstLineChars="200" w:firstLine="480"/>
        <w:rPr>
          <w:rFonts w:cs="Arial"/>
        </w:rPr>
      </w:pPr>
    </w:p>
    <w:p w14:paraId="2EB2C008" w14:textId="77777777" w:rsidR="0044246D" w:rsidRPr="00712FE8" w:rsidRDefault="0044246D" w:rsidP="00712FE8">
      <w:pPr>
        <w:pStyle w:val="aff6"/>
        <w:ind w:firstLine="562"/>
        <w:rPr>
          <w:b/>
          <w:bCs/>
        </w:rPr>
      </w:pPr>
      <w:r w:rsidRPr="00712FE8">
        <w:rPr>
          <w:rFonts w:hint="eastAsia"/>
          <w:b/>
          <w:bCs/>
        </w:rPr>
        <w:t>三、相剑文</w:t>
      </w:r>
    </w:p>
    <w:p w14:paraId="1A7DC208" w14:textId="77777777" w:rsidR="0044246D" w:rsidRPr="004726FD" w:rsidRDefault="0044246D" w:rsidP="00712FE8">
      <w:pPr>
        <w:pStyle w:val="aff4"/>
        <w:spacing w:before="540" w:after="540"/>
        <w:ind w:firstLine="496"/>
      </w:pPr>
      <w:r w:rsidRPr="004726FD">
        <w:rPr>
          <w:rFonts w:hint="eastAsia"/>
        </w:rPr>
        <w:t>利善剑文：县薄文者、保双蛇文皆可。带羽、圭中文者，皆可。剑谯</w:t>
      </w:r>
      <w:r w:rsidRPr="004726FD">
        <w:rPr>
          <w:rFonts w:hint="eastAsia"/>
        </w:rPr>
        <w:lastRenderedPageBreak/>
        <w:t>者利善，强者表恶，弱则利，奈何？（EPT40：206）</w:t>
      </w:r>
    </w:p>
    <w:p w14:paraId="65897F8D" w14:textId="77777777" w:rsidR="0044246D" w:rsidRPr="004726FD" w:rsidRDefault="0044246D" w:rsidP="00712FE8">
      <w:pPr>
        <w:pStyle w:val="aff4"/>
        <w:spacing w:before="540" w:after="540"/>
        <w:ind w:firstLine="496"/>
      </w:pPr>
      <w:r w:rsidRPr="004726FD">
        <w:rPr>
          <w:rFonts w:hint="eastAsia"/>
        </w:rPr>
        <w:t>恶、新器剑文：斗鸡、佂蛇文者，麤者，及皆凶不利者。右敝剑文四事。（EPT40：207）</w:t>
      </w:r>
    </w:p>
    <w:p w14:paraId="66EF2B79" w14:textId="77777777" w:rsidR="0044246D" w:rsidRPr="004726FD" w:rsidRDefault="0044246D" w:rsidP="00712FE8">
      <w:pPr>
        <w:pStyle w:val="aff6"/>
        <w:ind w:firstLine="560"/>
        <w:rPr>
          <w:rFonts w:eastAsia="PMingLiU"/>
        </w:rPr>
      </w:pPr>
      <w:r w:rsidRPr="004726FD">
        <w:rPr>
          <w:rFonts w:hint="eastAsia"/>
        </w:rPr>
        <w:t>“悬薄”，垂帘。语本《庄子·达生》：“高门县薄，无不走也。”成玄英疏：“县薄，垂帘也。”</w:t>
      </w:r>
      <w:r w:rsidRPr="004726FD">
        <w:rPr>
          <w:vertAlign w:val="superscript"/>
          <w:lang w:eastAsia="zh-TW"/>
        </w:rPr>
        <w:endnoteReference w:id="109"/>
      </w:r>
      <w:r w:rsidRPr="004726FD">
        <w:rPr>
          <w:rFonts w:hint="eastAsia"/>
        </w:rPr>
        <w:t>《礼记·曲礼上》：“帷薄之外不趋。”孔疏：“帷，幔也。薄，帘也。”</w:t>
      </w:r>
      <w:r w:rsidRPr="004726FD">
        <w:rPr>
          <w:vertAlign w:val="superscript"/>
          <w:lang w:eastAsia="zh-TW"/>
        </w:rPr>
        <w:endnoteReference w:id="110"/>
      </w:r>
      <w:r w:rsidRPr="004726FD">
        <w:rPr>
          <w:rFonts w:hint="eastAsia"/>
        </w:rPr>
        <w:t>“薄”可读为“蒲”，是植物名，在此指蒲席。《左传·文公二年》：“下展禽，废六关，妾织蒲。”杨伯峻注：“妾织蒲席贩卖，言其与民争利。”</w:t>
      </w:r>
      <w:r w:rsidRPr="004726FD">
        <w:rPr>
          <w:vertAlign w:val="superscript"/>
          <w:lang w:eastAsia="zh-TW"/>
        </w:rPr>
        <w:endnoteReference w:id="111"/>
      </w:r>
      <w:r w:rsidRPr="004726FD">
        <w:rPr>
          <w:rFonts w:hint="eastAsia"/>
        </w:rPr>
        <w:t>“悬薄文”即类似悬挂着的蒲席似的纹饰，颇疑即指上文所说之菱形暗格纹（图八）。古代的席子也是菱形纹，又称为人字纹，与剑纹相类。前述已经提到，菱形暗格纹为吴越剑制作最精良的纹饰，简文把它放在第一位，亦正相呼应。</w:t>
      </w:r>
    </w:p>
    <w:p w14:paraId="0063A657" w14:textId="77777777" w:rsidR="0044246D" w:rsidRPr="004726FD" w:rsidRDefault="0044246D" w:rsidP="00712FE8">
      <w:pPr>
        <w:pStyle w:val="aff6"/>
        <w:ind w:firstLine="560"/>
        <w:rPr>
          <w:rFonts w:eastAsia="PMingLiU"/>
        </w:rPr>
      </w:pPr>
      <w:r w:rsidRPr="004726FD">
        <w:rPr>
          <w:rFonts w:hint="eastAsia"/>
        </w:rPr>
        <w:t>“保双蛇纹”，“保”读为“抱”。郭店《老子》甲本“视索（素）保朴，少厶（私）寡欲”，河上公本、王弼本及帛书本“保”作“抱”。浙江省博物馆藏的一把越王州句错金剑（图十），“</w:t>
      </w:r>
      <w:r w:rsidRPr="004726FD">
        <w:rPr>
          <w:rFonts w:hint="eastAsia"/>
          <w:lang w:val="zh-CN"/>
        </w:rPr>
        <w:t>剑身满饰交织的波状暗纹</w:t>
      </w:r>
      <w:r w:rsidRPr="004726FD">
        <w:rPr>
          <w:rFonts w:hint="eastAsia"/>
        </w:rPr>
        <w:t>”，</w:t>
      </w:r>
      <w:r w:rsidRPr="004726FD">
        <w:rPr>
          <w:vertAlign w:val="superscript"/>
        </w:rPr>
        <w:endnoteReference w:id="112"/>
      </w:r>
      <w:r w:rsidRPr="004726FD">
        <w:rPr>
          <w:rFonts w:hint="eastAsia"/>
        </w:rPr>
        <w:t>很像两蛇相抱之形，当时或将此视为“抱双蛇文”，或将与此类似的、有蛇头的纹饰称为“抱双蛇文”。</w:t>
      </w:r>
    </w:p>
    <w:p w14:paraId="09F101DE" w14:textId="77777777" w:rsidR="0044246D" w:rsidRPr="004726FD" w:rsidRDefault="0044246D" w:rsidP="00712FE8">
      <w:pPr>
        <w:spacing w:line="360" w:lineRule="auto"/>
        <w:jc w:val="center"/>
        <w:rPr>
          <w:rFonts w:eastAsia="等线" w:cs="Arial"/>
        </w:rPr>
      </w:pPr>
      <w:r w:rsidRPr="004726FD">
        <w:rPr>
          <w:rFonts w:cs="Arial"/>
          <w:noProof/>
        </w:rPr>
        <w:lastRenderedPageBreak/>
        <w:drawing>
          <wp:inline distT="0" distB="0" distL="0" distR="0" wp14:anchorId="0D1371A0" wp14:editId="3DFACEAF">
            <wp:extent cx="2755900" cy="4368800"/>
            <wp:effectExtent l="0" t="0" r="6350"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4368800"/>
                    </a:xfrm>
                    <a:prstGeom prst="rect">
                      <a:avLst/>
                    </a:prstGeom>
                    <a:noFill/>
                    <a:ln>
                      <a:noFill/>
                    </a:ln>
                  </pic:spPr>
                </pic:pic>
              </a:graphicData>
            </a:graphic>
          </wp:inline>
        </w:drawing>
      </w:r>
    </w:p>
    <w:p w14:paraId="7DE16635" w14:textId="77777777" w:rsidR="0044246D" w:rsidRPr="004726FD" w:rsidRDefault="0044246D" w:rsidP="00712FE8">
      <w:pPr>
        <w:pStyle w:val="aff5"/>
        <w:jc w:val="center"/>
      </w:pPr>
      <w:r w:rsidRPr="004726FD">
        <w:rPr>
          <w:rFonts w:hint="eastAsia"/>
        </w:rPr>
        <w:t>图十：浙江省博物馆藏越王州句错金剑</w:t>
      </w:r>
    </w:p>
    <w:p w14:paraId="4B1AEF30" w14:textId="77777777" w:rsidR="0044246D" w:rsidRPr="004726FD" w:rsidRDefault="0044246D" w:rsidP="00712FE8">
      <w:pPr>
        <w:pStyle w:val="aff6"/>
        <w:ind w:firstLine="560"/>
      </w:pPr>
      <w:r w:rsidRPr="004726FD">
        <w:rPr>
          <w:rFonts w:hint="eastAsia"/>
        </w:rPr>
        <w:t>“带羽”，</w:t>
      </w:r>
      <w:r w:rsidRPr="004726FD">
        <w:rPr>
          <w:rFonts w:hint="eastAsia"/>
          <w:lang w:val="zh-CN"/>
        </w:rPr>
        <w:t>《中国简牍集成》</w:t>
      </w:r>
      <w:r w:rsidRPr="004726FD">
        <w:rPr>
          <w:rFonts w:hint="eastAsia"/>
        </w:rPr>
        <w:t>认为“剑身呈现带状羽形”，可供参考。“圭中文”，疑即指剑身中有圭形纹饰，古越阁所藏错金几何云纹剑（图十一），剑身纹饰的整体轮廓正为圭形。以往把菱形暗格纹当作圭中纹，是不对的。</w:t>
      </w:r>
    </w:p>
    <w:p w14:paraId="6356DD60" w14:textId="77777777" w:rsidR="0044246D" w:rsidRPr="004726FD" w:rsidRDefault="0044246D" w:rsidP="00712FE8">
      <w:pPr>
        <w:keepNext/>
        <w:spacing w:line="360" w:lineRule="auto"/>
        <w:ind w:firstLineChars="200" w:firstLine="480"/>
        <w:jc w:val="center"/>
        <w:rPr>
          <w:rFonts w:cs="Arial"/>
        </w:rPr>
      </w:pPr>
      <w:r w:rsidRPr="004726FD">
        <w:rPr>
          <w:rFonts w:cs="Arial"/>
          <w:noProof/>
        </w:rPr>
        <w:lastRenderedPageBreak/>
        <w:drawing>
          <wp:inline distT="0" distB="0" distL="0" distR="0" wp14:anchorId="59D7D4F5" wp14:editId="48119C7C">
            <wp:extent cx="2101850" cy="6553200"/>
            <wp:effectExtent l="0" t="0" r="0" b="0"/>
            <wp:docPr id="1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850" cy="6553200"/>
                    </a:xfrm>
                    <a:prstGeom prst="rect">
                      <a:avLst/>
                    </a:prstGeom>
                    <a:noFill/>
                    <a:ln>
                      <a:noFill/>
                    </a:ln>
                  </pic:spPr>
                </pic:pic>
              </a:graphicData>
            </a:graphic>
          </wp:inline>
        </w:drawing>
      </w:r>
    </w:p>
    <w:p w14:paraId="16779D05" w14:textId="77777777" w:rsidR="0044246D" w:rsidRPr="004726FD" w:rsidRDefault="0044246D" w:rsidP="00712FE8">
      <w:pPr>
        <w:pStyle w:val="aff5"/>
        <w:jc w:val="center"/>
      </w:pPr>
      <w:r w:rsidRPr="004726FD">
        <w:rPr>
          <w:rFonts w:hint="eastAsia"/>
        </w:rPr>
        <w:t>图十一：错金几何云纹剑</w:t>
      </w:r>
      <w:r w:rsidRPr="004726FD">
        <w:rPr>
          <w:rFonts w:eastAsia="PMingLiU"/>
          <w:vertAlign w:val="superscript"/>
        </w:rPr>
        <w:endnoteReference w:id="113"/>
      </w:r>
    </w:p>
    <w:p w14:paraId="05CF86F0" w14:textId="77777777" w:rsidR="0044246D" w:rsidRPr="004726FD" w:rsidRDefault="0044246D" w:rsidP="00712FE8">
      <w:pPr>
        <w:pStyle w:val="aff6"/>
        <w:ind w:firstLine="560"/>
        <w:rPr>
          <w:rFonts w:eastAsia="PMingLiU"/>
        </w:rPr>
      </w:pPr>
      <w:r w:rsidRPr="004726FD">
        <w:rPr>
          <w:rFonts w:hint="eastAsia"/>
        </w:rPr>
        <w:t>“剑</w:t>
      </w:r>
      <w:r w:rsidRPr="004726FD">
        <w:rPr>
          <w:noProof/>
          <w:lang w:eastAsia="zh-TW"/>
        </w:rPr>
        <w:drawing>
          <wp:inline distT="0" distB="0" distL="0" distR="0" wp14:anchorId="66AD26F3" wp14:editId="1BBC1351">
            <wp:extent cx="514350" cy="292100"/>
            <wp:effectExtent l="0" t="0" r="0" b="0"/>
            <wp:docPr id="1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292100"/>
                    </a:xfrm>
                    <a:prstGeom prst="rect">
                      <a:avLst/>
                    </a:prstGeom>
                    <a:noFill/>
                    <a:ln>
                      <a:noFill/>
                    </a:ln>
                  </pic:spPr>
                </pic:pic>
              </a:graphicData>
            </a:graphic>
          </wp:inline>
        </w:drawing>
      </w:r>
      <w:r w:rsidRPr="004726FD">
        <w:rPr>
          <w:rFonts w:hint="eastAsia"/>
        </w:rPr>
        <w:t>者利善”，</w:t>
      </w:r>
      <w:r w:rsidRPr="004726FD">
        <w:rPr>
          <w:noProof/>
          <w:lang w:eastAsia="zh-TW"/>
        </w:rPr>
        <w:drawing>
          <wp:inline distT="0" distB="0" distL="0" distR="0" wp14:anchorId="193DD881" wp14:editId="74A78AAD">
            <wp:extent cx="514350" cy="292100"/>
            <wp:effectExtent l="0" t="0" r="0" b="0"/>
            <wp:docPr id="119" name="图片 138053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05343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292100"/>
                    </a:xfrm>
                    <a:prstGeom prst="rect">
                      <a:avLst/>
                    </a:prstGeom>
                    <a:noFill/>
                    <a:ln>
                      <a:noFill/>
                    </a:ln>
                  </pic:spPr>
                </pic:pic>
              </a:graphicData>
            </a:graphic>
          </wp:inline>
        </w:drawing>
      </w:r>
      <w:r w:rsidRPr="004726FD">
        <w:rPr>
          <w:rFonts w:hint="eastAsia"/>
        </w:rPr>
        <w:t>字是《相剑刀》册中唯一的未识字，目前共有五种释法。此字左边从言没有问题，但右边跟所有已识字都不近，跟个别已识字在疑似之间，只有部分相近。最先发表的《居延</w:t>
      </w:r>
      <w:r w:rsidRPr="004726FD">
        <w:rPr>
          <w:rFonts w:hint="eastAsia"/>
        </w:rPr>
        <w:lastRenderedPageBreak/>
        <w:t>汉简〈相剑刀〉册释文》释作“谅”，</w:t>
      </w:r>
      <w:r w:rsidRPr="004726FD">
        <w:rPr>
          <w:rFonts w:hint="eastAsia"/>
          <w:lang w:val="zh-CN"/>
        </w:rPr>
        <w:t>《居延新简释粹》</w:t>
      </w:r>
      <w:r w:rsidRPr="004726FD">
        <w:rPr>
          <w:rFonts w:hint="eastAsia"/>
        </w:rPr>
        <w:t>释“谦”，《居延汉简〈相利善剑〉覈议》释“谋”，只要比照一下汉简中的字形，即可知三说皆非：</w:t>
      </w:r>
    </w:p>
    <w:p w14:paraId="0578488F" w14:textId="77777777" w:rsidR="0044246D" w:rsidRPr="004726FD" w:rsidRDefault="0044246D" w:rsidP="00712FE8">
      <w:pPr>
        <w:pStyle w:val="aff4"/>
        <w:spacing w:before="540" w:after="540"/>
        <w:ind w:firstLine="496"/>
      </w:pPr>
      <w:r w:rsidRPr="004726FD">
        <w:rPr>
          <w:rFonts w:hint="eastAsia"/>
        </w:rPr>
        <w:t>（29）七月丁未故</w:t>
      </w:r>
      <w:r w:rsidRPr="004726FD">
        <w:rPr>
          <w:rFonts w:hint="eastAsia"/>
          <w:u w:val="single"/>
        </w:rPr>
        <w:t>京</w:t>
      </w:r>
      <w:r w:rsidRPr="004726FD">
        <w:rPr>
          <w:noProof/>
        </w:rPr>
        <w:drawing>
          <wp:inline distT="0" distB="0" distL="0" distR="0" wp14:anchorId="5A80096E" wp14:editId="7CF6A117">
            <wp:extent cx="349250" cy="355600"/>
            <wp:effectExtent l="0" t="0" r="0" b="6350"/>
            <wp:docPr id="1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r w:rsidRPr="004726FD">
        <w:rPr>
          <w:rFonts w:hint="eastAsia"/>
        </w:rPr>
        <w:t>辅</w:t>
      </w:r>
      <w:r w:rsidRPr="004726FD">
        <w:rPr>
          <w:rFonts w:ascii="微软雅黑" w:eastAsia="微软雅黑" w:hAnsi="微软雅黑" w:cs="微软雅黑" w:hint="eastAsia"/>
        </w:rPr>
        <w:t>〼</w:t>
      </w:r>
      <w:r w:rsidRPr="004726FD">
        <w:rPr>
          <w:rFonts w:hint="eastAsia"/>
        </w:rPr>
        <w:t>（498·4）</w:t>
      </w:r>
    </w:p>
    <w:p w14:paraId="72843F3B" w14:textId="77777777" w:rsidR="0044246D" w:rsidRPr="004726FD" w:rsidRDefault="0044246D" w:rsidP="00712FE8">
      <w:pPr>
        <w:pStyle w:val="aff4"/>
        <w:spacing w:before="540" w:after="540"/>
        <w:ind w:firstLine="496"/>
      </w:pPr>
      <w:r w:rsidRPr="004726FD">
        <w:rPr>
          <w:rFonts w:hint="eastAsia"/>
        </w:rPr>
        <w:t>（30）二月戊寅张掖大守福、库丞承憙</w:t>
      </w:r>
      <w:r w:rsidRPr="004726FD">
        <w:rPr>
          <w:rFonts w:hint="eastAsia"/>
          <w:u w:val="single"/>
        </w:rPr>
        <w:t>兼</w:t>
      </w:r>
      <w:r w:rsidRPr="004726FD">
        <w:rPr>
          <w:noProof/>
        </w:rPr>
        <w:drawing>
          <wp:inline distT="0" distB="0" distL="0" distR="0" wp14:anchorId="1C8EF149" wp14:editId="32CB2FCC">
            <wp:extent cx="444500" cy="279400"/>
            <wp:effectExtent l="0" t="0" r="0" b="6350"/>
            <wp:docPr id="1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0" cy="279400"/>
                    </a:xfrm>
                    <a:prstGeom prst="rect">
                      <a:avLst/>
                    </a:prstGeom>
                    <a:noFill/>
                    <a:ln>
                      <a:noFill/>
                    </a:ln>
                  </pic:spPr>
                </pic:pic>
              </a:graphicData>
            </a:graphic>
          </wp:inline>
        </w:drawing>
      </w:r>
      <w:r w:rsidRPr="004726FD">
        <w:rPr>
          <w:rFonts w:hint="eastAsia"/>
        </w:rPr>
        <w:t>行丞事……（4·1）</w:t>
      </w:r>
    </w:p>
    <w:p w14:paraId="567ABDDB" w14:textId="77777777" w:rsidR="0044246D" w:rsidRPr="004726FD" w:rsidRDefault="0044246D" w:rsidP="00712FE8">
      <w:pPr>
        <w:pStyle w:val="aff4"/>
        <w:spacing w:before="540" w:after="540"/>
        <w:ind w:firstLine="496"/>
      </w:pPr>
      <w:r w:rsidRPr="004726FD">
        <w:rPr>
          <w:rFonts w:hint="eastAsia"/>
        </w:rPr>
        <w:t>（31）·南阳大守掾史宛邑令闻安众侯刘崇</w:t>
      </w:r>
      <w:r w:rsidRPr="004726FD">
        <w:rPr>
          <w:rFonts w:hint="eastAsia"/>
          <w:u w:val="single"/>
        </w:rPr>
        <w:t>谋</w:t>
      </w:r>
      <w:r w:rsidRPr="004726FD">
        <w:rPr>
          <w:noProof/>
          <w:lang w:val="zh-CN"/>
        </w:rPr>
        <w:drawing>
          <wp:inline distT="0" distB="0" distL="0" distR="0" wp14:anchorId="37F57A61" wp14:editId="5F64A9D6">
            <wp:extent cx="723900" cy="387350"/>
            <wp:effectExtent l="0" t="0" r="0" b="0"/>
            <wp:docPr id="1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387350"/>
                    </a:xfrm>
                    <a:prstGeom prst="rect">
                      <a:avLst/>
                    </a:prstGeom>
                    <a:noFill/>
                    <a:ln>
                      <a:noFill/>
                    </a:ln>
                  </pic:spPr>
                </pic:pic>
              </a:graphicData>
            </a:graphic>
          </wp:inline>
        </w:drawing>
      </w:r>
      <w:r w:rsidRPr="004726FD">
        <w:rPr>
          <w:rFonts w:hint="eastAsia"/>
        </w:rPr>
        <w:t>反……（ESC:1）</w:t>
      </w:r>
    </w:p>
    <w:p w14:paraId="3DD26B7A" w14:textId="77777777" w:rsidR="0044246D" w:rsidRPr="004726FD" w:rsidRDefault="0044246D" w:rsidP="00712FE8">
      <w:pPr>
        <w:pStyle w:val="aff5"/>
      </w:pPr>
      <w:r w:rsidRPr="004726FD">
        <w:rPr>
          <w:rFonts w:hint="eastAsia"/>
        </w:rPr>
        <w:t>“京”的头部当作一点下有长横，“兼”的头部有两点，“某”的竖笔应贯通最下一横，且不应有四点（《居延汉简相剑刀册释读析疑》已指出本简之字右下方实有四点，最左一点与“言”旁的横折粘连）。何茂活先生释为“</w:t>
      </w:r>
      <w:r w:rsidRPr="004726FD">
        <w:rPr>
          <w:noProof/>
          <w:lang w:eastAsia="zh-TW"/>
        </w:rPr>
        <w:drawing>
          <wp:inline distT="0" distB="0" distL="0" distR="0" wp14:anchorId="33D46556" wp14:editId="764071F9">
            <wp:extent cx="139700" cy="139700"/>
            <wp:effectExtent l="0" t="0" r="0" b="0"/>
            <wp:docPr id="1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4726FD">
        <w:rPr>
          <w:rFonts w:hint="eastAsia"/>
        </w:rPr>
        <w:t>”，认为系“鸣”之异体，从言从口可以互换，并引古代典籍中常有刀剑自鸣之说为证。</w:t>
      </w:r>
    </w:p>
    <w:p w14:paraId="4C71F6E5" w14:textId="77777777" w:rsidR="0044246D" w:rsidRPr="004726FD" w:rsidRDefault="0044246D" w:rsidP="00712FE8">
      <w:pPr>
        <w:pStyle w:val="aff6"/>
        <w:ind w:firstLine="560"/>
      </w:pPr>
      <w:r w:rsidRPr="004726FD">
        <w:rPr>
          <w:rFonts w:hint="eastAsia"/>
        </w:rPr>
        <w:t>正如《居延汉简相剑刀册释读析疑》自己所做的总结，此字释为“鸣”有两点不甚安妥：一是从字形上看，“鸣”字的</w:t>
      </w:r>
      <w:r w:rsidRPr="004726FD">
        <w:rPr>
          <w:rFonts w:hint="eastAsia"/>
          <w:szCs w:val="24"/>
          <w:lang w:val="zh-CN"/>
        </w:rPr>
        <w:t>“</w:t>
      </w:r>
      <w:r w:rsidRPr="004726FD">
        <w:rPr>
          <w:rFonts w:ascii="SimSun-ExtB" w:eastAsia="SimSun-ExtB" w:hAnsi="SimSun-ExtB" w:cs="SimSun-ExtB" w:hint="eastAsia"/>
          <w:szCs w:val="24"/>
          <w:lang w:val="zh-CN"/>
        </w:rPr>
        <w:t>𠃌</w:t>
      </w:r>
      <w:r w:rsidRPr="004726FD">
        <w:rPr>
          <w:rFonts w:hint="eastAsia"/>
          <w:szCs w:val="24"/>
          <w:lang w:val="zh-CN"/>
        </w:rPr>
        <w:t>”画写成一横颇无道理。裘锡圭曾指出“坞”字“乌”旁与“</w:t>
      </w:r>
      <w:r w:rsidRPr="004726FD">
        <w:rPr>
          <w:noProof/>
        </w:rPr>
        <w:drawing>
          <wp:inline distT="0" distB="0" distL="0" distR="0" wp14:anchorId="21616694" wp14:editId="30A8FED4">
            <wp:extent cx="133350" cy="133350"/>
            <wp:effectExtent l="0" t="0" r="0" b="0"/>
            <wp:docPr id="1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726FD">
        <w:rPr>
          <w:rFonts w:hint="eastAsia"/>
          <w:szCs w:val="24"/>
          <w:lang w:val="zh-CN"/>
        </w:rPr>
        <w:t>”字“焦”旁的最主要区别就是最下一横右端一定往下弯，形成“</w:t>
      </w:r>
      <w:r w:rsidRPr="004726FD">
        <w:rPr>
          <w:rFonts w:ascii="SimSun-ExtB" w:eastAsia="SimSun-ExtB" w:hAnsi="SimSun-ExtB" w:cs="SimSun-ExtB" w:hint="eastAsia"/>
          <w:szCs w:val="24"/>
          <w:lang w:val="zh-CN"/>
        </w:rPr>
        <w:t>𠃌</w:t>
      </w:r>
      <w:r w:rsidRPr="004726FD">
        <w:rPr>
          <w:rFonts w:hint="eastAsia"/>
          <w:szCs w:val="24"/>
          <w:lang w:val="zh-CN"/>
        </w:rPr>
        <w:t>”“乛”一类的笔形</w:t>
      </w:r>
      <w:r w:rsidRPr="004726FD">
        <w:rPr>
          <w:rFonts w:hint="eastAsia"/>
        </w:rPr>
        <w:t>。</w:t>
      </w:r>
      <w:r w:rsidRPr="004726FD">
        <w:rPr>
          <w:vertAlign w:val="superscript"/>
          <w:lang w:eastAsia="zh-TW"/>
        </w:rPr>
        <w:endnoteReference w:id="114"/>
      </w:r>
      <w:r w:rsidRPr="004726FD">
        <w:rPr>
          <w:rFonts w:hint="eastAsia"/>
        </w:rPr>
        <w:t>“鸟”“乌”同例，此字作一横，不从“鸟”。二是简文此处</w:t>
      </w:r>
      <w:r w:rsidRPr="004726FD">
        <w:rPr>
          <w:rFonts w:hint="eastAsia"/>
        </w:rPr>
        <w:lastRenderedPageBreak/>
        <w:t>不应该讲到剑鸣。一方面鸣叫之剑带有神话色彩，许多出于后人附会，不见得为相剑者认可；另一方面，下文讲的是剑的表面特征，不宜谈到剑的声音。从文意上看，本句要么是指剑的文理，要么是指剑的表面特征。</w:t>
      </w:r>
    </w:p>
    <w:p w14:paraId="4B198549" w14:textId="77777777" w:rsidR="0044246D" w:rsidRPr="004726FD" w:rsidRDefault="0044246D" w:rsidP="00712FE8">
      <w:pPr>
        <w:pStyle w:val="aff6"/>
        <w:ind w:firstLine="560"/>
      </w:pPr>
      <w:r w:rsidRPr="004726FD">
        <w:rPr>
          <w:rFonts w:hint="eastAsia"/>
        </w:rPr>
        <w:t>《中国碑帖名品》在注释中提到此字右旁或从“焦”，可能为“谯”字，但义不明。我们认为这一释形是最为可靠的，同时句意也能讲通。汉简的“焦”字和从“焦”的“</w:t>
      </w:r>
      <w:r w:rsidRPr="004726FD">
        <w:rPr>
          <w:noProof/>
          <w:position w:val="-2"/>
        </w:rPr>
        <w:drawing>
          <wp:inline distT="0" distB="0" distL="0" distR="0" wp14:anchorId="5E44D44B" wp14:editId="119133D1">
            <wp:extent cx="158750" cy="146050"/>
            <wp:effectExtent l="0" t="0" r="0" b="6350"/>
            <wp:docPr id="1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4726FD">
        <w:rPr>
          <w:rFonts w:hint="eastAsia"/>
        </w:rPr>
        <w:t>”字作如下之形：</w:t>
      </w:r>
    </w:p>
    <w:p w14:paraId="2D1B100C" w14:textId="77777777" w:rsidR="0044246D" w:rsidRPr="004726FD" w:rsidRDefault="0044246D" w:rsidP="00712FE8">
      <w:pPr>
        <w:pStyle w:val="aff4"/>
        <w:spacing w:before="540" w:after="540"/>
        <w:ind w:firstLine="496"/>
      </w:pPr>
      <w:r w:rsidRPr="004726FD">
        <w:rPr>
          <w:rFonts w:hint="eastAsia"/>
        </w:rPr>
        <w:t>（32）晦日举</w:t>
      </w:r>
      <w:r w:rsidRPr="004726FD">
        <w:rPr>
          <w:noProof/>
        </w:rPr>
        <w:drawing>
          <wp:inline distT="0" distB="0" distL="0" distR="0" wp14:anchorId="0A7D81FD" wp14:editId="0BF08F12">
            <wp:extent cx="133350" cy="133350"/>
            <wp:effectExtent l="0" t="0" r="0" b="0"/>
            <wp:docPr id="126"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726FD">
        <w:rPr>
          <w:rFonts w:hint="eastAsia"/>
        </w:rPr>
        <w:t>（</w:t>
      </w:r>
      <w:r w:rsidRPr="004726FD">
        <w:rPr>
          <w:noProof/>
          <w:lang w:val="zh-TW"/>
        </w:rPr>
        <w:drawing>
          <wp:inline distT="0" distB="0" distL="0" distR="0" wp14:anchorId="26AD55F2" wp14:editId="62C6E56D">
            <wp:extent cx="330200" cy="311150"/>
            <wp:effectExtent l="0" t="0" r="0" b="0"/>
            <wp:docPr id="1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200" cy="311150"/>
                    </a:xfrm>
                    <a:prstGeom prst="rect">
                      <a:avLst/>
                    </a:prstGeom>
                    <a:noFill/>
                    <a:ln>
                      <a:noFill/>
                    </a:ln>
                  </pic:spPr>
                </pic:pic>
              </a:graphicData>
            </a:graphic>
          </wp:inline>
        </w:drawing>
      </w:r>
      <w:r w:rsidRPr="004726FD">
        <w:rPr>
          <w:rFonts w:hint="eastAsia"/>
        </w:rPr>
        <w:t>）上一苣火一通（428·6）</w:t>
      </w:r>
    </w:p>
    <w:p w14:paraId="02435DA0" w14:textId="77777777" w:rsidR="0044246D" w:rsidRPr="004726FD" w:rsidRDefault="0044246D" w:rsidP="00712FE8">
      <w:pPr>
        <w:pStyle w:val="aff4"/>
        <w:spacing w:before="540" w:after="540"/>
        <w:ind w:firstLine="496"/>
      </w:pPr>
      <w:r w:rsidRPr="004726FD">
        <w:rPr>
          <w:rFonts w:hint="eastAsia"/>
        </w:rPr>
        <w:t>（33）</w:t>
      </w:r>
      <w:r w:rsidRPr="004726FD">
        <w:rPr>
          <w:rFonts w:ascii="微软雅黑" w:eastAsia="微软雅黑" w:hAnsi="微软雅黑" w:hint="eastAsia"/>
        </w:rPr>
        <w:t>〼</w:t>
      </w:r>
      <w:r w:rsidRPr="004726FD">
        <w:rPr>
          <w:rFonts w:hint="eastAsia"/>
        </w:rPr>
        <w:t>第十隧举</w:t>
      </w:r>
      <w:r w:rsidRPr="004726FD">
        <w:rPr>
          <w:noProof/>
        </w:rPr>
        <w:drawing>
          <wp:inline distT="0" distB="0" distL="0" distR="0" wp14:anchorId="035C6F80" wp14:editId="0C2E405E">
            <wp:extent cx="133350" cy="133350"/>
            <wp:effectExtent l="0" t="0" r="0" b="0"/>
            <wp:docPr id="1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726FD">
        <w:rPr>
          <w:rFonts w:hint="eastAsia"/>
        </w:rPr>
        <w:t>（</w:t>
      </w:r>
      <w:r w:rsidRPr="004726FD">
        <w:rPr>
          <w:noProof/>
          <w:lang w:val="zh-CN"/>
        </w:rPr>
        <w:drawing>
          <wp:inline distT="0" distB="0" distL="0" distR="0" wp14:anchorId="656818D5" wp14:editId="658D968B">
            <wp:extent cx="419100" cy="361950"/>
            <wp:effectExtent l="0" t="0" r="0" b="0"/>
            <wp:docPr id="1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Pr="004726FD">
        <w:rPr>
          <w:rFonts w:hint="eastAsia"/>
        </w:rPr>
        <w:t>）上二</w:t>
      </w:r>
      <w:r w:rsidRPr="004726FD">
        <w:rPr>
          <w:noProof/>
        </w:rPr>
        <w:drawing>
          <wp:inline distT="0" distB="0" distL="0" distR="0" wp14:anchorId="03D5334F" wp14:editId="251E04E4">
            <wp:extent cx="146050" cy="152400"/>
            <wp:effectExtent l="0" t="0" r="6350" b="0"/>
            <wp:docPr id="1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rsidRPr="004726FD">
        <w:rPr>
          <w:rFonts w:hint="eastAsia"/>
        </w:rPr>
        <w:t>，谨和受</w:t>
      </w:r>
      <w:r w:rsidRPr="004726FD">
        <w:rPr>
          <w:rFonts w:ascii="微软雅黑" w:eastAsia="微软雅黑" w:hAnsi="微软雅黑" w:hint="eastAsia"/>
        </w:rPr>
        <w:t>〼</w:t>
      </w:r>
      <w:r w:rsidRPr="004726FD">
        <w:rPr>
          <w:rFonts w:hint="eastAsia"/>
        </w:rPr>
        <w:t>（EPT6：18）</w:t>
      </w:r>
      <w:r w:rsidRPr="004726FD">
        <w:rPr>
          <w:vertAlign w:val="superscript"/>
        </w:rPr>
        <w:endnoteReference w:id="115"/>
      </w:r>
    </w:p>
    <w:p w14:paraId="6D6B7E9E" w14:textId="77777777" w:rsidR="0044246D" w:rsidRPr="004726FD" w:rsidRDefault="0044246D" w:rsidP="00712FE8">
      <w:pPr>
        <w:pStyle w:val="aff4"/>
        <w:spacing w:before="540" w:after="540"/>
        <w:ind w:firstLine="496"/>
      </w:pPr>
      <w:r w:rsidRPr="004726FD">
        <w:rPr>
          <w:rFonts w:hint="eastAsia"/>
        </w:rPr>
        <w:t>（34）九日诣部，到居延收降亭，马罢，止害隧长</w:t>
      </w:r>
      <w:r w:rsidRPr="004726FD">
        <w:rPr>
          <w:rFonts w:hint="eastAsia"/>
          <w:u w:val="single"/>
        </w:rPr>
        <w:t>焦（</w:t>
      </w:r>
      <w:r w:rsidRPr="004726FD">
        <w:rPr>
          <w:noProof/>
          <w:lang w:val="zh-CN"/>
        </w:rPr>
        <w:drawing>
          <wp:inline distT="0" distB="0" distL="0" distR="0" wp14:anchorId="0BAE523C" wp14:editId="39956C23">
            <wp:extent cx="406400" cy="292100"/>
            <wp:effectExtent l="0" t="0" r="0" b="0"/>
            <wp:docPr id="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a:graphicData>
            </a:graphic>
          </wp:inline>
        </w:drawing>
      </w:r>
      <w:r w:rsidRPr="004726FD">
        <w:rPr>
          <w:rFonts w:hint="eastAsia"/>
          <w:u w:val="single"/>
        </w:rPr>
        <w:t>）</w:t>
      </w:r>
      <w:r w:rsidRPr="004726FD">
        <w:rPr>
          <w:rFonts w:hint="eastAsia"/>
        </w:rPr>
        <w:t>永行檄还，放骑永所用驿（EPF22：189）</w:t>
      </w:r>
      <w:r w:rsidRPr="004726FD">
        <w:rPr>
          <w:vertAlign w:val="superscript"/>
        </w:rPr>
        <w:endnoteReference w:id="116"/>
      </w:r>
    </w:p>
    <w:p w14:paraId="4FE555C8" w14:textId="77777777" w:rsidR="0044246D" w:rsidRPr="004726FD" w:rsidRDefault="0044246D" w:rsidP="00712FE8">
      <w:pPr>
        <w:pStyle w:val="aff4"/>
        <w:spacing w:before="540" w:after="540"/>
        <w:ind w:firstLine="496"/>
      </w:pPr>
      <w:r w:rsidRPr="004726FD">
        <w:rPr>
          <w:rFonts w:hint="eastAsia"/>
        </w:rPr>
        <w:t>（35）戍卒淮阳郡</w:t>
      </w:r>
      <w:r w:rsidRPr="004726FD">
        <w:rPr>
          <w:rFonts w:hint="eastAsia"/>
          <w:u w:val="single"/>
        </w:rPr>
        <w:t>谯（</w:t>
      </w:r>
      <w:r w:rsidRPr="004726FD">
        <w:rPr>
          <w:noProof/>
          <w:lang w:val="zh-CN"/>
        </w:rPr>
        <w:drawing>
          <wp:inline distT="0" distB="0" distL="0" distR="0" wp14:anchorId="3462583A" wp14:editId="3BDF76EC">
            <wp:extent cx="425450" cy="311150"/>
            <wp:effectExtent l="0" t="0" r="0" b="0"/>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0" cy="311150"/>
                    </a:xfrm>
                    <a:prstGeom prst="rect">
                      <a:avLst/>
                    </a:prstGeom>
                    <a:noFill/>
                    <a:ln>
                      <a:noFill/>
                    </a:ln>
                  </pic:spPr>
                </pic:pic>
              </a:graphicData>
            </a:graphic>
          </wp:inline>
        </w:drawing>
      </w:r>
      <w:r w:rsidRPr="004726FD">
        <w:rPr>
          <w:rFonts w:hint="eastAsia"/>
          <w:u w:val="single"/>
        </w:rPr>
        <w:t>）</w:t>
      </w:r>
      <w:r w:rsidRPr="004726FD">
        <w:rPr>
          <w:rFonts w:hint="eastAsia"/>
        </w:rPr>
        <w:t>西成里黄拾  金城  （73EJT4：15）</w:t>
      </w:r>
    </w:p>
    <w:p w14:paraId="2C18B718" w14:textId="77777777" w:rsidR="0044246D" w:rsidRPr="004726FD" w:rsidRDefault="0044246D" w:rsidP="00712FE8">
      <w:pPr>
        <w:pStyle w:val="aff6"/>
        <w:ind w:firstLine="560"/>
        <w:rPr>
          <w:rFonts w:eastAsia="PMingLiU"/>
        </w:rPr>
      </w:pPr>
      <w:r w:rsidRPr="004726FD">
        <w:rPr>
          <w:noProof/>
          <w:lang w:eastAsia="zh-TW"/>
        </w:rPr>
        <w:drawing>
          <wp:inline distT="0" distB="0" distL="0" distR="0" wp14:anchorId="06E20B03" wp14:editId="28CD2C50">
            <wp:extent cx="514350" cy="292100"/>
            <wp:effectExtent l="0" t="0" r="0" b="0"/>
            <wp:docPr id="13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292100"/>
                    </a:xfrm>
                    <a:prstGeom prst="rect">
                      <a:avLst/>
                    </a:prstGeom>
                    <a:noFill/>
                    <a:ln>
                      <a:noFill/>
                    </a:ln>
                  </pic:spPr>
                </pic:pic>
              </a:graphicData>
            </a:graphic>
          </wp:inline>
        </w:drawing>
      </w:r>
      <w:r w:rsidRPr="004726FD">
        <w:rPr>
          <w:rFonts w:hint="eastAsia"/>
        </w:rPr>
        <w:t>与上揭“焦”或从“焦”之字相比，头部作横折、底部有四点、最下一横平直不弯，都非常相似，唯一不同的是中间一横没有穿过右侧的竖笔，可视为书写的随意性所致。注意（32）—（34）所从的“焦”旁都写三横，这一点也与</w:t>
      </w:r>
      <w:r w:rsidRPr="004726FD">
        <w:rPr>
          <w:noProof/>
          <w:lang w:eastAsia="zh-TW"/>
        </w:rPr>
        <w:drawing>
          <wp:inline distT="0" distB="0" distL="0" distR="0" wp14:anchorId="6229B1B5" wp14:editId="749352E1">
            <wp:extent cx="514350" cy="292100"/>
            <wp:effectExtent l="0" t="0" r="0" b="0"/>
            <wp:docPr id="13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292100"/>
                    </a:xfrm>
                    <a:prstGeom prst="rect">
                      <a:avLst/>
                    </a:prstGeom>
                    <a:noFill/>
                    <a:ln>
                      <a:noFill/>
                    </a:ln>
                  </pic:spPr>
                </pic:pic>
              </a:graphicData>
            </a:graphic>
          </wp:inline>
        </w:drawing>
      </w:r>
      <w:r w:rsidRPr="004726FD">
        <w:rPr>
          <w:rFonts w:hint="eastAsia"/>
        </w:rPr>
        <w:t>相同。“谯”字常见，如（35），而“</w:t>
      </w:r>
      <w:r w:rsidRPr="004726FD">
        <w:rPr>
          <w:noProof/>
          <w:lang w:eastAsia="zh-TW"/>
        </w:rPr>
        <w:drawing>
          <wp:inline distT="0" distB="0" distL="0" distR="0" wp14:anchorId="52DF71AE" wp14:editId="6119086F">
            <wp:extent cx="139700" cy="139700"/>
            <wp:effectExtent l="0" t="0" r="0" b="0"/>
            <wp:docPr id="1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4726FD">
        <w:rPr>
          <w:rFonts w:hint="eastAsia"/>
        </w:rPr>
        <w:t>”字十分罕见，</w:t>
      </w:r>
      <w:r w:rsidRPr="004726FD">
        <w:rPr>
          <w:vertAlign w:val="superscript"/>
        </w:rPr>
        <w:endnoteReference w:id="117"/>
      </w:r>
      <w:r w:rsidRPr="004726FD">
        <w:rPr>
          <w:rFonts w:hint="eastAsia"/>
        </w:rPr>
        <w:t>这也是我们不同意释“鸣”的原因之</w:t>
      </w:r>
      <w:r w:rsidRPr="004726FD">
        <w:rPr>
          <w:rFonts w:hint="eastAsia"/>
        </w:rPr>
        <w:lastRenderedPageBreak/>
        <w:t>一。</w:t>
      </w:r>
    </w:p>
    <w:p w14:paraId="4B34DA9A" w14:textId="77777777" w:rsidR="0044246D" w:rsidRPr="004726FD" w:rsidRDefault="0044246D" w:rsidP="00712FE8">
      <w:pPr>
        <w:pStyle w:val="aff6"/>
        <w:ind w:firstLine="560"/>
      </w:pPr>
      <w:r w:rsidRPr="004726FD">
        <w:rPr>
          <w:rFonts w:hint="eastAsia"/>
        </w:rPr>
        <w:t>“谯”通“燋”，义为憔悴、枯焦。《庄子·天地》：“孝子操药以修慈父，其色燋然。</w:t>
      </w:r>
      <w:r w:rsidRPr="004726FD">
        <w:rPr>
          <w:rFonts w:hint="eastAsia"/>
          <w:lang w:eastAsia="zh-TW"/>
        </w:rPr>
        <w:t>”成玄英疏：“燋然，憔悴貌。”</w:t>
      </w:r>
      <w:r w:rsidRPr="004726FD">
        <w:rPr>
          <w:vertAlign w:val="superscript"/>
          <w:lang w:eastAsia="zh-TW"/>
        </w:rPr>
        <w:endnoteReference w:id="118"/>
      </w:r>
      <w:r w:rsidRPr="004726FD">
        <w:rPr>
          <w:rFonts w:hint="eastAsia"/>
          <w:lang w:eastAsia="zh-TW"/>
        </w:rPr>
        <w:t>字又作“焦”。《列子·黄帝》：“焦然肌色皯黣，昏然五情爽惑。”《列子释文》“焦”作“燋”。</w:t>
      </w:r>
      <w:r w:rsidRPr="004726FD">
        <w:rPr>
          <w:vertAlign w:val="superscript"/>
          <w:lang w:eastAsia="zh-TW"/>
        </w:rPr>
        <w:endnoteReference w:id="119"/>
      </w:r>
      <w:r w:rsidRPr="004726FD">
        <w:rPr>
          <w:rFonts w:hint="eastAsia"/>
          <w:lang w:eastAsia="zh-TW"/>
        </w:rPr>
        <w:t>“燋”不限于指人面色憔悴，也可以指物。</w:t>
      </w:r>
      <w:r w:rsidRPr="004726FD">
        <w:rPr>
          <w:rFonts w:hint="eastAsia"/>
        </w:rPr>
        <w:t>《诗·豳风·鸱鸮》：“予羽谯谯，予尾翛翛。”毛传：“谯谯，杀也。”郑笺：“手口既病，羽尾又杀敝，言己劳苦甚。”《释文》：“字或作燋，同。”王先谦曰：“案，‘谯’当为‘燋’。《说文》：‘燋，所以然持火也。’此本义。《淮南·泛论》注：‘燋，悴也。’此引伸义。‘燋燋’正形容苦悴之状。”</w:t>
      </w:r>
      <w:r w:rsidRPr="004726FD">
        <w:rPr>
          <w:vertAlign w:val="superscript"/>
        </w:rPr>
        <w:endnoteReference w:id="120"/>
      </w:r>
      <w:r w:rsidRPr="004726FD">
        <w:rPr>
          <w:rFonts w:hint="eastAsia"/>
        </w:rPr>
        <w:t>或径训为干枯，《论衡·感虚》：“十日并出，万物燋枯。”</w:t>
      </w:r>
      <w:r w:rsidRPr="004726FD">
        <w:rPr>
          <w:vertAlign w:val="superscript"/>
          <w:lang w:eastAsia="zh-TW"/>
        </w:rPr>
        <w:endnoteReference w:id="121"/>
      </w:r>
      <w:r w:rsidRPr="004726FD">
        <w:rPr>
          <w:rFonts w:hint="eastAsia"/>
        </w:rPr>
        <w:t>“剑燋”是指剑的外观看上去枯薧、憔悴。</w:t>
      </w:r>
    </w:p>
    <w:p w14:paraId="45B31957" w14:textId="77777777" w:rsidR="0044246D" w:rsidRPr="004726FD" w:rsidRDefault="0044246D" w:rsidP="00712FE8">
      <w:pPr>
        <w:pStyle w:val="aff6"/>
        <w:ind w:firstLine="560"/>
      </w:pPr>
      <w:r w:rsidRPr="004726FD">
        <w:rPr>
          <w:rFonts w:hint="eastAsia"/>
        </w:rPr>
        <w:t>“强者表恶，弱则利，奈何”。“强”即刚，“弱”即柔。“弱则利”蒙上而省，完整的表述是“弱者则表利”。“则”在此表示对比关系，用于后一分句，相当于“却”。</w:t>
      </w:r>
      <w:r w:rsidRPr="004726FD">
        <w:rPr>
          <w:vertAlign w:val="superscript"/>
        </w:rPr>
        <w:endnoteReference w:id="122"/>
      </w:r>
      <w:r w:rsidRPr="004726FD">
        <w:rPr>
          <w:rFonts w:hint="eastAsia"/>
        </w:rPr>
        <w:t>《左传·襄公十年》：“我辞礼矣，彼则以之。”</w:t>
      </w:r>
      <w:r w:rsidRPr="004726FD">
        <w:rPr>
          <w:vertAlign w:val="superscript"/>
          <w:lang w:eastAsia="zh-TW"/>
        </w:rPr>
        <w:endnoteReference w:id="123"/>
      </w:r>
      <w:r w:rsidRPr="004726FD">
        <w:rPr>
          <w:rFonts w:hint="eastAsia"/>
        </w:rPr>
        <w:t>是说宋公享晋侯于楚丘，拟用《桑林》之乐，荀罃辞让，宋仍用之，故荀罃曰“我以礼辞让，宋却依旧用之”，与“强者表恶，弱则利”的句式、用法皆同。这句是说“剑之刚强者，外表很粗劣；剑之柔弱者，外表却很锋利，没办法。”这样与前句“剑谯（燋）者利</w:t>
      </w:r>
      <w:r w:rsidRPr="004726FD">
        <w:rPr>
          <w:rFonts w:hint="eastAsia"/>
        </w:rPr>
        <w:lastRenderedPageBreak/>
        <w:t>善”一义相承，都是讲剑外观与性能的反差。</w:t>
      </w:r>
    </w:p>
    <w:p w14:paraId="02DFFED1" w14:textId="77777777" w:rsidR="0044246D" w:rsidRPr="004726FD" w:rsidRDefault="0044246D" w:rsidP="00712FE8">
      <w:pPr>
        <w:pStyle w:val="aff6"/>
        <w:ind w:firstLine="560"/>
        <w:rPr>
          <w:szCs w:val="24"/>
          <w:lang w:val="zh-CN" w:eastAsia="zh-TW"/>
        </w:rPr>
      </w:pPr>
      <w:r w:rsidRPr="004726FD">
        <w:rPr>
          <w:rFonts w:hint="eastAsia"/>
        </w:rPr>
        <w:t>在此顺便讨论阙简的问题。《居延汉简〈相剑刀〉册释文》《居延汉简〈相剑刀〉册初探》</w:t>
      </w:r>
      <w:r w:rsidRPr="004726FD">
        <w:rPr>
          <w:rFonts w:hint="eastAsia"/>
          <w:lang w:val="zh-CN"/>
        </w:rPr>
        <w:t>《居延新简释粹》</w:t>
      </w:r>
      <w:r w:rsidRPr="004726FD">
        <w:rPr>
          <w:rFonts w:hint="eastAsia"/>
        </w:rPr>
        <w:t>《汉“相剑刀册”略说》都是主张简册有阙简的，不过对阙简的内容判断却不一致。《居延汉简〈相剑刀〉册初探》认为缺失的内容是“利善剑文”的一部分；《汉“相剑刀册”略说》则以为是“</w:t>
      </w:r>
      <w:r w:rsidRPr="004726FD">
        <w:rPr>
          <w:rFonts w:hint="eastAsia"/>
          <w:szCs w:val="24"/>
          <w:lang w:val="zh-CN"/>
        </w:rPr>
        <w:t>右利善剑文四事</w:t>
      </w:r>
      <w:r w:rsidRPr="004726FD">
        <w:rPr>
          <w:rFonts w:hint="eastAsia"/>
        </w:rPr>
        <w:t>”一句。《居延汉简相剑刀册释读析疑》因为</w:t>
      </w:r>
      <w:r w:rsidRPr="004726FD">
        <w:rPr>
          <w:rFonts w:hint="eastAsia"/>
          <w:szCs w:val="24"/>
          <w:lang w:val="zh-CN" w:eastAsia="zh-TW"/>
        </w:rPr>
        <w:t>“</w:t>
      </w:r>
      <w:r w:rsidRPr="004726FD">
        <w:rPr>
          <w:rFonts w:hint="eastAsia"/>
          <w:szCs w:val="24"/>
          <w:lang w:val="zh-CN"/>
        </w:rPr>
        <w:t>右善剑四事</w:t>
      </w:r>
      <w:r w:rsidRPr="004726FD">
        <w:rPr>
          <w:rFonts w:hint="eastAsia"/>
          <w:szCs w:val="24"/>
          <w:lang w:val="zh-CN" w:eastAsia="zh-TW"/>
        </w:rPr>
        <w:t>”</w:t>
      </w:r>
      <w:r w:rsidRPr="004726FD">
        <w:rPr>
          <w:rFonts w:hint="eastAsia"/>
          <w:szCs w:val="24"/>
          <w:lang w:val="zh-CN"/>
        </w:rPr>
        <w:t>和</w:t>
      </w:r>
      <w:r w:rsidRPr="004726FD">
        <w:rPr>
          <w:rFonts w:hint="eastAsia"/>
          <w:szCs w:val="24"/>
          <w:lang w:val="zh-CN" w:eastAsia="zh-TW"/>
        </w:rPr>
        <w:t>“</w:t>
      </w:r>
      <w:r w:rsidRPr="004726FD">
        <w:rPr>
          <w:rFonts w:hint="eastAsia"/>
          <w:szCs w:val="24"/>
          <w:lang w:val="zh-CN"/>
        </w:rPr>
        <w:t>右弊剑六事</w:t>
      </w:r>
      <w:r w:rsidRPr="004726FD">
        <w:rPr>
          <w:rFonts w:hint="eastAsia"/>
          <w:szCs w:val="24"/>
          <w:lang w:val="zh-CN" w:eastAsia="zh-TW"/>
        </w:rPr>
        <w:t>”</w:t>
      </w:r>
      <w:r w:rsidRPr="004726FD">
        <w:rPr>
          <w:rFonts w:hint="eastAsia"/>
          <w:szCs w:val="24"/>
          <w:lang w:val="zh-CN"/>
        </w:rPr>
        <w:t>是放在一起的，因而主张没有阙简，只在最后一简脱去</w:t>
      </w:r>
      <w:r w:rsidRPr="004726FD">
        <w:rPr>
          <w:rFonts w:hint="eastAsia"/>
          <w:szCs w:val="24"/>
          <w:lang w:val="zh-CN" w:eastAsia="zh-TW"/>
        </w:rPr>
        <w:t>“</w:t>
      </w:r>
      <w:r w:rsidRPr="004726FD">
        <w:rPr>
          <w:rFonts w:hint="eastAsia"/>
          <w:szCs w:val="24"/>
          <w:lang w:val="zh-CN"/>
        </w:rPr>
        <w:t>右善剑文四事</w:t>
      </w:r>
      <w:r w:rsidRPr="004726FD">
        <w:rPr>
          <w:rFonts w:hint="eastAsia"/>
          <w:szCs w:val="24"/>
          <w:lang w:val="zh-CN" w:eastAsia="zh-TW"/>
        </w:rPr>
        <w:t>”</w:t>
      </w:r>
      <w:r w:rsidRPr="004726FD">
        <w:rPr>
          <w:rFonts w:hint="eastAsia"/>
          <w:szCs w:val="24"/>
          <w:lang w:val="zh-CN"/>
        </w:rPr>
        <w:t>一句。</w:t>
      </w:r>
    </w:p>
    <w:p w14:paraId="663F5417" w14:textId="77777777" w:rsidR="0044246D" w:rsidRPr="004726FD" w:rsidRDefault="0044246D" w:rsidP="00712FE8">
      <w:pPr>
        <w:pStyle w:val="aff6"/>
        <w:ind w:firstLine="560"/>
        <w:rPr>
          <w:rFonts w:eastAsia="PMingLiU"/>
        </w:rPr>
      </w:pPr>
      <w:r w:rsidRPr="004726FD">
        <w:rPr>
          <w:rFonts w:hint="eastAsia"/>
        </w:rPr>
        <w:t>尽管照上述我们的理解，“剑谯者利善”两句讲的是剑的外观，与剑文有些关联，但严格来说毕竟不是在讲剑文。从具体的剑文，跳跃到对剑表的泛论，再回到剑文，不得不引起我们的怀疑：除了阙简、脱文等情况外，很有可能存在抄错、抄串的现象，即把别的内容夹杂在了此处，这种可能是存在的。</w:t>
      </w:r>
    </w:p>
    <w:p w14:paraId="2689F118" w14:textId="77777777" w:rsidR="0044246D" w:rsidRPr="004726FD" w:rsidRDefault="0044246D" w:rsidP="00712FE8">
      <w:pPr>
        <w:pStyle w:val="aff6"/>
        <w:ind w:firstLine="560"/>
        <w:rPr>
          <w:rFonts w:eastAsia="PMingLiU"/>
        </w:rPr>
      </w:pPr>
      <w:r w:rsidRPr="004726FD">
        <w:rPr>
          <w:rFonts w:hint="eastAsia"/>
        </w:rPr>
        <w:t>“佂蛇”即征蛇。汉代从“彳”旁的字常常可写成从“亻”。马王堆帛书《缪和》：</w:t>
      </w:r>
    </w:p>
    <w:p w14:paraId="14F2DE11" w14:textId="77777777" w:rsidR="0044246D" w:rsidRPr="004726FD" w:rsidRDefault="0044246D" w:rsidP="00712FE8">
      <w:pPr>
        <w:pStyle w:val="aff4"/>
        <w:spacing w:before="540" w:after="540"/>
        <w:ind w:firstLine="496"/>
        <w:rPr>
          <w:rFonts w:eastAsia="PMingLiU"/>
        </w:rPr>
      </w:pPr>
      <w:r w:rsidRPr="004726FD">
        <w:rPr>
          <w:rFonts w:hint="eastAsia"/>
        </w:rPr>
        <w:t>故《易卦》亓（其）义曰：“鸣溓（谦），可用行师</w:t>
      </w:r>
      <w:r w:rsidRPr="004726FD">
        <w:rPr>
          <w:rFonts w:hint="eastAsia"/>
          <w:u w:val="single"/>
        </w:rPr>
        <w:t>佂（</w:t>
      </w:r>
      <w:r w:rsidRPr="004726FD">
        <w:rPr>
          <w:noProof/>
        </w:rPr>
        <w:drawing>
          <wp:inline distT="0" distB="0" distL="0" distR="0" wp14:anchorId="18657D91" wp14:editId="088EE518">
            <wp:extent cx="260350" cy="215900"/>
            <wp:effectExtent l="0" t="0" r="6350" b="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350" cy="215900"/>
                    </a:xfrm>
                    <a:prstGeom prst="rect">
                      <a:avLst/>
                    </a:prstGeom>
                    <a:noFill/>
                    <a:ln>
                      <a:noFill/>
                    </a:ln>
                  </pic:spPr>
                </pic:pic>
              </a:graphicData>
            </a:graphic>
          </wp:inline>
        </w:drawing>
      </w:r>
      <w:r w:rsidRPr="004726FD">
        <w:rPr>
          <w:rFonts w:hint="eastAsia"/>
          <w:u w:val="single"/>
        </w:rPr>
        <w:t>）</w:t>
      </w:r>
      <w:r w:rsidRPr="004726FD">
        <w:rPr>
          <w:rFonts w:hint="eastAsia"/>
        </w:rPr>
        <w:t>国。”</w:t>
      </w:r>
      <w:r w:rsidRPr="004726FD">
        <w:rPr>
          <w:vertAlign w:val="superscript"/>
        </w:rPr>
        <w:endnoteReference w:id="124"/>
      </w:r>
      <w:r w:rsidRPr="004726FD">
        <w:rPr>
          <w:rFonts w:hint="eastAsia"/>
        </w:rPr>
        <w:t>（63下）</w:t>
      </w:r>
    </w:p>
    <w:p w14:paraId="443DFC6E" w14:textId="77777777" w:rsidR="0044246D" w:rsidRPr="004726FD" w:rsidRDefault="0044246D" w:rsidP="00712FE8">
      <w:pPr>
        <w:pStyle w:val="aff4"/>
        <w:spacing w:before="540" w:after="540"/>
        <w:ind w:firstLine="496"/>
        <w:rPr>
          <w:rFonts w:eastAsia="PMingLiU"/>
        </w:rPr>
      </w:pPr>
      <w:r w:rsidRPr="004726FD">
        <w:rPr>
          <w:rFonts w:hint="eastAsia"/>
        </w:rPr>
        <w:lastRenderedPageBreak/>
        <w:t>《易》曰“童童（憧憧）往来”，仁不达也；“不克</w:t>
      </w:r>
      <w:r w:rsidRPr="004726FD">
        <w:rPr>
          <w:rFonts w:hint="eastAsia"/>
          <w:u w:val="single"/>
        </w:rPr>
        <w:t>佂（</w:t>
      </w:r>
      <w:r w:rsidRPr="004726FD">
        <w:rPr>
          <w:noProof/>
          <w:lang w:val="zh-TW"/>
        </w:rPr>
        <w:drawing>
          <wp:inline distT="0" distB="0" distL="0" distR="0" wp14:anchorId="6CF76CC8" wp14:editId="6B153528">
            <wp:extent cx="393700" cy="266700"/>
            <wp:effectExtent l="0" t="0" r="6350" b="0"/>
            <wp:docPr id="1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700" cy="266700"/>
                    </a:xfrm>
                    <a:prstGeom prst="rect">
                      <a:avLst/>
                    </a:prstGeom>
                    <a:noFill/>
                    <a:ln>
                      <a:noFill/>
                    </a:ln>
                  </pic:spPr>
                </pic:pic>
              </a:graphicData>
            </a:graphic>
          </wp:inline>
        </w:drawing>
      </w:r>
      <w:r w:rsidRPr="004726FD">
        <w:rPr>
          <w:rFonts w:hint="eastAsia"/>
          <w:u w:val="single"/>
        </w:rPr>
        <w:t>）</w:t>
      </w:r>
      <w:r w:rsidRPr="004726FD">
        <w:rPr>
          <w:rFonts w:hint="eastAsia"/>
        </w:rPr>
        <w:t>”，义不达也。</w:t>
      </w:r>
      <w:r w:rsidRPr="004726FD">
        <w:rPr>
          <w:vertAlign w:val="superscript"/>
        </w:rPr>
        <w:endnoteReference w:id="125"/>
      </w:r>
      <w:r w:rsidRPr="004726FD">
        <w:rPr>
          <w:rFonts w:hint="eastAsia"/>
        </w:rPr>
        <w:t>（72上）</w:t>
      </w:r>
    </w:p>
    <w:p w14:paraId="1909E207" w14:textId="77777777" w:rsidR="0044246D" w:rsidRPr="004726FD" w:rsidRDefault="0044246D" w:rsidP="00712FE8">
      <w:pPr>
        <w:pStyle w:val="aff6"/>
        <w:ind w:firstLine="560"/>
        <w:rPr>
          <w:rFonts w:eastAsia="PMingLiU"/>
        </w:rPr>
      </w:pPr>
      <w:r w:rsidRPr="004726FD">
        <w:rPr>
          <w:rFonts w:hint="eastAsia"/>
        </w:rPr>
        <w:t>今本《周易·谦卦》作“利用行师征邑国”</w:t>
      </w:r>
      <w:r w:rsidRPr="004726FD">
        <w:rPr>
          <w:vertAlign w:val="superscript"/>
        </w:rPr>
        <w:endnoteReference w:id="126"/>
      </w:r>
      <w:r w:rsidRPr="004726FD">
        <w:rPr>
          <w:rFonts w:hint="eastAsia"/>
        </w:rPr>
        <w:t>、《复卦》作“不克征”</w:t>
      </w:r>
      <w:r w:rsidRPr="004726FD">
        <w:rPr>
          <w:vertAlign w:val="superscript"/>
        </w:rPr>
        <w:endnoteReference w:id="127"/>
      </w:r>
      <w:r w:rsidRPr="004726FD">
        <w:rPr>
          <w:rFonts w:hint="eastAsia"/>
        </w:rPr>
        <w:t>可证。西北汉简中“往来”字作</w:t>
      </w:r>
      <w:r w:rsidRPr="004726FD">
        <w:rPr>
          <w:rFonts w:eastAsia="PMingLiU"/>
          <w:noProof/>
          <w:lang w:eastAsia="zh-TW"/>
        </w:rPr>
        <w:drawing>
          <wp:inline distT="0" distB="0" distL="0" distR="0" wp14:anchorId="27A52D27" wp14:editId="06C2011F">
            <wp:extent cx="374650" cy="228600"/>
            <wp:effectExtent l="0" t="0" r="6350" b="0"/>
            <wp:docPr id="1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650" cy="228600"/>
                    </a:xfrm>
                    <a:prstGeom prst="rect">
                      <a:avLst/>
                    </a:prstGeom>
                    <a:noFill/>
                    <a:ln>
                      <a:noFill/>
                    </a:ln>
                  </pic:spPr>
                </pic:pic>
              </a:graphicData>
            </a:graphic>
          </wp:inline>
        </w:drawing>
      </w:r>
      <w:r w:rsidRPr="004726FD">
        <w:rPr>
          <w:rFonts w:hint="eastAsia"/>
        </w:rPr>
        <w:t>（273·3）、“律令”字作</w:t>
      </w:r>
      <w:r w:rsidRPr="004726FD">
        <w:rPr>
          <w:rFonts w:eastAsia="PMingLiU"/>
          <w:noProof/>
          <w:lang w:eastAsia="zh-TW"/>
        </w:rPr>
        <w:drawing>
          <wp:inline distT="0" distB="0" distL="0" distR="0" wp14:anchorId="5BB1AE78" wp14:editId="4A7F11E0">
            <wp:extent cx="260350" cy="234950"/>
            <wp:effectExtent l="0" t="0" r="6350" b="0"/>
            <wp:docPr id="1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350" cy="234950"/>
                    </a:xfrm>
                    <a:prstGeom prst="rect">
                      <a:avLst/>
                    </a:prstGeom>
                    <a:noFill/>
                    <a:ln>
                      <a:noFill/>
                    </a:ln>
                  </pic:spPr>
                </pic:pic>
              </a:graphicData>
            </a:graphic>
          </wp:inline>
        </w:drawing>
      </w:r>
      <w:r w:rsidRPr="004726FD">
        <w:rPr>
          <w:rFonts w:hint="eastAsia"/>
        </w:rPr>
        <w:t>（271·18）、“徐”姓字作“</w:t>
      </w:r>
      <w:r w:rsidRPr="004726FD">
        <w:rPr>
          <w:noProof/>
          <w:lang w:val="zh-CN"/>
        </w:rPr>
        <w:drawing>
          <wp:inline distT="0" distB="0" distL="0" distR="0" wp14:anchorId="07DDA7E1" wp14:editId="5D7E0C9F">
            <wp:extent cx="184150" cy="222250"/>
            <wp:effectExtent l="0" t="0" r="6350" b="6350"/>
            <wp:docPr id="1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4726FD">
        <w:rPr>
          <w:rFonts w:hint="eastAsia"/>
        </w:rPr>
        <w:t>”（《敦煌汉简》2120A）等等，也都是同类的偏旁混用现象。</w:t>
      </w:r>
    </w:p>
    <w:p w14:paraId="2B30E6C2" w14:textId="77777777" w:rsidR="0044246D" w:rsidRPr="004726FD" w:rsidRDefault="0044246D" w:rsidP="00712FE8">
      <w:pPr>
        <w:pStyle w:val="aff6"/>
        <w:ind w:firstLine="560"/>
        <w:rPr>
          <w:rFonts w:ascii="Times New Roman" w:eastAsia="PMingLiU" w:hAnsi="Times New Roman"/>
        </w:rPr>
      </w:pPr>
      <w:r w:rsidRPr="004726FD">
        <w:rPr>
          <w:rFonts w:hint="eastAsia"/>
        </w:rPr>
        <w:t>古书有“贞虫”一词。《淮南子·原道》：“夫举天下万物，蚑蛲贞虫。”</w:t>
      </w:r>
      <w:r w:rsidRPr="004726FD">
        <w:rPr>
          <w:vertAlign w:val="superscript"/>
          <w:lang w:eastAsia="zh-TW"/>
        </w:rPr>
        <w:endnoteReference w:id="128"/>
      </w:r>
      <w:r w:rsidRPr="004726FD">
        <w:rPr>
          <w:rFonts w:eastAsia="楷体"/>
          <w:iCs/>
          <w:szCs w:val="21"/>
        </w:rPr>
        <w:t>《说山》篇：</w:t>
      </w:r>
      <w:r w:rsidRPr="004726FD">
        <w:rPr>
          <w:rFonts w:eastAsia="楷体"/>
          <w:iCs/>
          <w:szCs w:val="21"/>
        </w:rPr>
        <w:t>“</w:t>
      </w:r>
      <w:r w:rsidRPr="004726FD">
        <w:rPr>
          <w:rFonts w:eastAsia="楷体"/>
          <w:iCs/>
          <w:szCs w:val="21"/>
        </w:rPr>
        <w:t>贞虫之动以毒螫。</w:t>
      </w:r>
      <w:r w:rsidRPr="004726FD">
        <w:rPr>
          <w:rFonts w:eastAsia="楷体"/>
          <w:iCs/>
          <w:szCs w:val="21"/>
        </w:rPr>
        <w:t>”</w:t>
      </w:r>
      <w:r w:rsidRPr="004726FD">
        <w:rPr>
          <w:iCs/>
          <w:vertAlign w:val="superscript"/>
          <w:lang w:eastAsia="zh-TW"/>
        </w:rPr>
        <w:endnoteReference w:id="129"/>
      </w:r>
      <w:r w:rsidRPr="004726FD">
        <w:rPr>
          <w:rFonts w:eastAsia="楷体"/>
          <w:iCs/>
          <w:szCs w:val="21"/>
        </w:rPr>
        <w:t>又</w:t>
      </w:r>
      <w:r w:rsidRPr="004726FD">
        <w:rPr>
          <w:rFonts w:eastAsia="楷体"/>
          <w:iCs/>
          <w:szCs w:val="21"/>
        </w:rPr>
        <w:t>“</w:t>
      </w:r>
      <w:r w:rsidRPr="004726FD">
        <w:rPr>
          <w:rFonts w:eastAsia="楷体"/>
          <w:iCs/>
          <w:szCs w:val="21"/>
        </w:rPr>
        <w:t>贞虫</w:t>
      </w:r>
      <w:r w:rsidRPr="004726FD">
        <w:rPr>
          <w:rFonts w:eastAsia="楷体"/>
          <w:iCs/>
          <w:szCs w:val="21"/>
        </w:rPr>
        <w:t>”</w:t>
      </w:r>
      <w:r w:rsidRPr="004726FD">
        <w:rPr>
          <w:rFonts w:eastAsia="楷体"/>
          <w:iCs/>
          <w:szCs w:val="21"/>
        </w:rPr>
        <w:t>每与</w:t>
      </w:r>
      <w:r w:rsidRPr="004726FD">
        <w:rPr>
          <w:rFonts w:eastAsia="楷体"/>
          <w:iCs/>
          <w:szCs w:val="21"/>
        </w:rPr>
        <w:t>“</w:t>
      </w:r>
      <w:r w:rsidRPr="004726FD">
        <w:rPr>
          <w:rFonts w:eastAsia="楷体"/>
          <w:iCs/>
          <w:szCs w:val="21"/>
        </w:rPr>
        <w:t>飞鸟</w:t>
      </w:r>
      <w:r w:rsidRPr="004726FD">
        <w:rPr>
          <w:rFonts w:eastAsia="楷体"/>
          <w:iCs/>
          <w:szCs w:val="21"/>
        </w:rPr>
        <w:t>”</w:t>
      </w:r>
      <w:r w:rsidRPr="004726FD">
        <w:rPr>
          <w:rFonts w:eastAsia="楷体"/>
          <w:iCs/>
          <w:szCs w:val="21"/>
        </w:rPr>
        <w:t>并举，</w:t>
      </w:r>
      <w:r w:rsidRPr="004726FD">
        <w:rPr>
          <w:rFonts w:hint="eastAsia"/>
        </w:rPr>
        <w:t>《墨子·明鬼下》云“百兽贞虫，允及飞鸟”</w:t>
      </w:r>
      <w:r w:rsidRPr="004726FD">
        <w:rPr>
          <w:vertAlign w:val="superscript"/>
          <w:lang w:eastAsia="zh-TW"/>
        </w:rPr>
        <w:endnoteReference w:id="130"/>
      </w:r>
      <w:r w:rsidRPr="004726FD">
        <w:rPr>
          <w:rFonts w:hint="eastAsia"/>
        </w:rPr>
        <w:t>，《非乐上》云“今人固与禽兽麋鹿、蜚鸟贞虫异者也”</w:t>
      </w:r>
      <w:r w:rsidRPr="004726FD">
        <w:rPr>
          <w:vertAlign w:val="superscript"/>
          <w:lang w:eastAsia="zh-TW"/>
        </w:rPr>
        <w:endnoteReference w:id="131"/>
      </w:r>
      <w:r w:rsidRPr="004726FD">
        <w:rPr>
          <w:rFonts w:hint="eastAsia"/>
        </w:rPr>
        <w:t>。《大戴礼记·四代》有“蜚征作”</w:t>
      </w:r>
      <w:r w:rsidRPr="004726FD">
        <w:rPr>
          <w:vertAlign w:val="superscript"/>
          <w:lang w:eastAsia="zh-TW"/>
        </w:rPr>
        <w:endnoteReference w:id="132"/>
      </w:r>
      <w:r w:rsidRPr="004726FD">
        <w:rPr>
          <w:rFonts w:hint="eastAsia"/>
        </w:rPr>
        <w:t>，孙诒让《墨子间诂》引宋翔凤说读“贞”为“征”：</w:t>
      </w:r>
    </w:p>
    <w:p w14:paraId="0E116D82" w14:textId="77777777" w:rsidR="0044246D" w:rsidRPr="004726FD" w:rsidRDefault="0044246D" w:rsidP="00712FE8">
      <w:pPr>
        <w:pStyle w:val="aff4"/>
        <w:spacing w:before="540" w:after="540"/>
        <w:ind w:firstLine="496"/>
        <w:rPr>
          <w:rFonts w:eastAsia="PMingLiU"/>
        </w:rPr>
      </w:pPr>
      <w:r w:rsidRPr="004726FD">
        <w:rPr>
          <w:rFonts w:hint="eastAsia"/>
        </w:rPr>
        <w:t>宋翔凤云：“贞通征，此言蜚鸟征虫，即《三朝记》所谓蜚征也。”案：宋说是也。《庄子·在宥》篇云“灾及草木，祸及止虫”，《释文》引崔譔本作“正虫”，亦即“贞虫”也。“征”正字，“贞”、“正”并声近叚借字。</w:t>
      </w:r>
      <w:r w:rsidRPr="004726FD">
        <w:rPr>
          <w:vertAlign w:val="superscript"/>
        </w:rPr>
        <w:endnoteReference w:id="133"/>
      </w:r>
    </w:p>
    <w:p w14:paraId="4DA2BD36" w14:textId="77777777" w:rsidR="0044246D" w:rsidRPr="004726FD" w:rsidRDefault="0044246D" w:rsidP="00712FE8">
      <w:pPr>
        <w:pStyle w:val="aff5"/>
        <w:rPr>
          <w:rFonts w:ascii="Times New Roman" w:eastAsia="PMingLiU" w:hAnsi="Times New Roman"/>
        </w:rPr>
      </w:pPr>
      <w:r w:rsidRPr="004726FD">
        <w:rPr>
          <w:rFonts w:hint="eastAsia"/>
        </w:rPr>
        <w:t>而出土文献中正以“正/征虫”与“飞鸟”对举，可证宋说之确。上</w:t>
      </w:r>
      <w:r w:rsidRPr="004726FD">
        <w:rPr>
          <w:rFonts w:hint="eastAsia"/>
        </w:rPr>
        <w:lastRenderedPageBreak/>
        <w:t>博简《用曰》第5简有“征虫飞鸟”</w:t>
      </w:r>
      <w:r w:rsidRPr="004726FD">
        <w:rPr>
          <w:vertAlign w:val="superscript"/>
          <w:lang w:eastAsia="zh-TW"/>
        </w:rPr>
        <w:endnoteReference w:id="134"/>
      </w:r>
      <w:r w:rsidRPr="004726FD">
        <w:rPr>
          <w:rFonts w:hint="eastAsia"/>
        </w:rPr>
        <w:t>。马王堆帛书《二三子问》：“龙大矣，龙既能云变，有（又）能蛇变，有（又）能鱼变。</w:t>
      </w:r>
      <w:r w:rsidRPr="004726FD">
        <w:rPr>
          <w:rFonts w:ascii="SimSun-ExtB" w:eastAsia="SimSun-ExtB" w:hAnsi="SimSun-ExtB" w:cs="SimSun-ExtB" w:hint="eastAsia"/>
        </w:rPr>
        <w:t>𪂏</w:t>
      </w:r>
      <w:r w:rsidRPr="004726FD">
        <w:rPr>
          <w:rFonts w:hint="eastAsia"/>
        </w:rPr>
        <w:t>（飞）鸟正虫，唯所欲化，而不失本刑（形），神能之至也。”（第2行上下）</w:t>
      </w:r>
      <w:r w:rsidRPr="004726FD">
        <w:rPr>
          <w:vertAlign w:val="superscript"/>
          <w:lang w:eastAsia="zh-TW"/>
        </w:rPr>
        <w:endnoteReference w:id="135"/>
      </w:r>
      <w:r w:rsidRPr="004726FD">
        <w:rPr>
          <w:rFonts w:hint="eastAsia"/>
        </w:rPr>
        <w:t>清华简《成人》篇“群兽非正”，“非正”整理者读为“飞征”，</w:t>
      </w:r>
      <w:r w:rsidRPr="004726FD">
        <w:rPr>
          <w:vertAlign w:val="superscript"/>
          <w:lang w:eastAsia="zh-TW"/>
        </w:rPr>
        <w:endnoteReference w:id="136"/>
      </w:r>
      <w:r w:rsidRPr="004726FD">
        <w:rPr>
          <w:rFonts w:hint="eastAsia"/>
        </w:rPr>
        <w:t>良是。“正虫”和“贞虫”都应读为“征虫”。《尔雅·释言》：“征、迈，行也。”郝懿行疏曰：“征训行，故宵征即宵行，征夫即行人，征伐亦即行伐也。”</w:t>
      </w:r>
      <w:r w:rsidRPr="004726FD">
        <w:rPr>
          <w:vertAlign w:val="superscript"/>
        </w:rPr>
        <w:endnoteReference w:id="137"/>
      </w:r>
      <w:r w:rsidRPr="004726FD">
        <w:rPr>
          <w:rFonts w:hint="eastAsia"/>
        </w:rPr>
        <w:t>《诗·小雅·黍苗》“烈烈征师，召伯成之”，《郑笺》亦云：“征，行也。”</w:t>
      </w:r>
      <w:r w:rsidRPr="004726FD">
        <w:rPr>
          <w:vertAlign w:val="superscript"/>
          <w:lang w:eastAsia="zh-TW"/>
        </w:rPr>
        <w:endnoteReference w:id="138"/>
      </w:r>
      <w:r w:rsidRPr="004726FD">
        <w:rPr>
          <w:rFonts w:hint="eastAsia"/>
        </w:rPr>
        <w:t>具体到对于虫的“行”，其实就是爬。“佂蛇”“征蛇”，即指爬行的蛇。</w:t>
      </w:r>
    </w:p>
    <w:p w14:paraId="7741A82A" w14:textId="77777777" w:rsidR="0044246D" w:rsidRPr="004726FD" w:rsidRDefault="0044246D" w:rsidP="00712FE8">
      <w:pPr>
        <w:pStyle w:val="aff6"/>
        <w:ind w:firstLine="560"/>
      </w:pPr>
      <w:r w:rsidRPr="004726FD">
        <w:rPr>
          <w:rFonts w:hint="eastAsia"/>
        </w:rPr>
        <w:t>最后对简文全部内容做一个大致的语译：</w:t>
      </w:r>
    </w:p>
    <w:p w14:paraId="2CDD5483" w14:textId="77777777" w:rsidR="0044246D" w:rsidRPr="004726FD" w:rsidRDefault="0044246D" w:rsidP="00712FE8">
      <w:pPr>
        <w:pStyle w:val="aff4"/>
        <w:spacing w:before="540" w:after="540"/>
        <w:ind w:firstLine="496"/>
      </w:pPr>
      <w:r w:rsidRPr="004726FD">
        <w:rPr>
          <w:rFonts w:hint="eastAsia"/>
        </w:rPr>
        <w:t>要想知道剑锋利或吉利与否，是不是旧剑，（就要）起身，拔剑，看剑身上如果没锤锻的痕迹，就是旧剑。要想知道剑锋利或吉利与否，如果看到剑身上有连续不断的两列黑色，其与“白坚”相交之处很难察见，看到“白坚”部分到与“黑坚”相交处约三分的地方就断了，这就是天下少见的锋利并吉利的剑。再看剑身布满有黄米或小米米粒大小的锈斑，就是锋利的剑，而且还要加上吉利的优点。要想知道不好的、看去似乎难以修复的剑和新造的剑，时间近中午，这样的剑颜色就会发红。看到“白坚”</w:t>
      </w:r>
      <w:r w:rsidRPr="004726FD">
        <w:rPr>
          <w:rFonts w:hint="eastAsia"/>
        </w:rPr>
        <w:lastRenderedPageBreak/>
        <w:t>部分随与“黑坚”相交处上升，或锤锻处“白坚”和“黑坚”部分分别清楚，以及没有纹理，或即使有纹理，纹理却在剑身基体之中，还有云纹和气纹相纠缠的纹理，都是不好且会带给人妨害的剑。刀和剑是一样的。右边说的是好的剑四种和不好的剑六种。锋利和吉利的剑的纹理有：悬挂的蒲席纹，双抱蛇纹，都可以；带羽纹和圭中纹，都可以。剑外表焦枯，是锋利且吉利的剑。刚硬的剑常常外表粗恶，柔弱的剑常常外表锋利，无可奈何。粗劣的剑和新造的剑的纹理：斗鸡纹、爬蛇纹、粗糙的纹和不吉利的纹。右边说的是不好的剑的纹理四种。</w:t>
      </w:r>
    </w:p>
    <w:p w14:paraId="41FFE5CE" w14:textId="77777777" w:rsidR="0044246D" w:rsidRPr="004726FD" w:rsidRDefault="0044246D" w:rsidP="004726FD">
      <w:pPr>
        <w:spacing w:line="360" w:lineRule="auto"/>
        <w:ind w:firstLineChars="200" w:firstLine="480"/>
        <w:rPr>
          <w:rFonts w:eastAsia="PMingLiU" w:cs="Arial"/>
        </w:rPr>
      </w:pPr>
    </w:p>
    <w:p w14:paraId="111FDCDE" w14:textId="77777777" w:rsidR="0044246D" w:rsidRPr="00712FE8" w:rsidRDefault="0044246D" w:rsidP="00712FE8">
      <w:pPr>
        <w:pStyle w:val="aff6"/>
        <w:ind w:firstLine="562"/>
        <w:rPr>
          <w:rFonts w:eastAsia="PMingLiU"/>
          <w:b/>
          <w:bCs/>
        </w:rPr>
      </w:pPr>
      <w:r w:rsidRPr="00712FE8">
        <w:rPr>
          <w:rFonts w:hint="eastAsia"/>
          <w:b/>
          <w:bCs/>
        </w:rPr>
        <w:t>四、《相剑刀》的性质</w:t>
      </w:r>
    </w:p>
    <w:p w14:paraId="0E68D9A3" w14:textId="77777777" w:rsidR="0044246D" w:rsidRPr="004726FD" w:rsidRDefault="0044246D" w:rsidP="00712FE8">
      <w:pPr>
        <w:pStyle w:val="aff6"/>
        <w:ind w:firstLine="560"/>
        <w:rPr>
          <w:rFonts w:eastAsia="PMingLiU"/>
        </w:rPr>
      </w:pPr>
      <w:r w:rsidRPr="004726FD">
        <w:rPr>
          <w:rFonts w:hint="eastAsia"/>
        </w:rPr>
        <w:t>本节对《相剑刀》的文本类别归属及其反映的思想、时代观念谈一点我们的看法。</w:t>
      </w:r>
    </w:p>
    <w:p w14:paraId="67720366" w14:textId="77777777" w:rsidR="0044246D" w:rsidRPr="004726FD" w:rsidRDefault="0044246D" w:rsidP="00712FE8">
      <w:pPr>
        <w:pStyle w:val="aff6"/>
        <w:ind w:firstLine="560"/>
        <w:rPr>
          <w:rFonts w:eastAsia="PMingLiU"/>
        </w:rPr>
      </w:pPr>
      <w:r w:rsidRPr="004726FD">
        <w:rPr>
          <w:rFonts w:hint="eastAsia"/>
        </w:rPr>
        <w:t>《相剑刀》记载的内容属于古代相术，在《汉书·艺文志》中应归入“术数略”的“形法”类。《志》云：“形法者，大举九州之势以立城郭室舍，形人及六畜骨法之度数、器物之形容以求其声气贵贱吉凶。犹律有长短，而各征其声，非有鬼神，数自然也。然形与气相首尾，亦有有其形而无其气，有其气而无其形，此精微之独异也。”</w:t>
      </w:r>
      <w:r w:rsidRPr="004726FD">
        <w:rPr>
          <w:vertAlign w:val="superscript"/>
          <w:lang w:eastAsia="zh-TW"/>
        </w:rPr>
        <w:endnoteReference w:id="139"/>
      </w:r>
      <w:r w:rsidRPr="004726FD">
        <w:rPr>
          <w:rFonts w:hint="eastAsia"/>
        </w:rPr>
        <w:t>《汉志》有形法六家，《山海经》《国朝》《宫宅地形》《相人》《相宝剑刀》</w:t>
      </w:r>
      <w:r w:rsidRPr="004726FD">
        <w:rPr>
          <w:rFonts w:hint="eastAsia"/>
        </w:rPr>
        <w:lastRenderedPageBreak/>
        <w:t>《相六畜》，《山海经》“举九州之势”，《国朝》或言城郭宗庙（国，都也），《宫宅地形》或言屋舍。除《山海经》外，《汉志》所载五家均佚，而出土文献恰使我们得窥它们的真相。马王堆帛书《宅位宅形吉凶图》应属宫宅地形类；银雀山汉简《相狗方》、马王堆帛书《相马经》则属于相六畜之书；居延汉简《相剑刀》正是相宝剑刀之属。古代的相术，既可以相生物也可以相非生物，但通过观察人畜骨相、器物外观以知其贵贱吉凶，则是这些形法书的共同之处。《相剑刀》根据剑身上推处、黑两桁、白黑坚、锈迹、花纹等特征来判断一把剑的利善弊恶，是十分契合《汉志》的定义的。</w:t>
      </w:r>
    </w:p>
    <w:p w14:paraId="1BF9614F" w14:textId="77777777" w:rsidR="0044246D" w:rsidRPr="004726FD" w:rsidRDefault="0044246D" w:rsidP="00712FE8">
      <w:pPr>
        <w:pStyle w:val="aff6"/>
        <w:ind w:firstLine="560"/>
        <w:rPr>
          <w:rFonts w:eastAsia="PMingLiU"/>
        </w:rPr>
      </w:pPr>
      <w:r w:rsidRPr="004726FD">
        <w:rPr>
          <w:rFonts w:hint="eastAsia"/>
        </w:rPr>
        <w:t>在这些形法书中，一些与生产生活密切相关的内容在后代的文献中仍有流传。如敦煌本《宅经》所见的《五姓人宅图》、《五姓家宅图》，基本结构仍以宅内建筑的方位来占断吉凶。</w:t>
      </w:r>
      <w:r w:rsidRPr="004726FD">
        <w:rPr>
          <w:vertAlign w:val="superscript"/>
          <w:lang w:eastAsia="zh-TW"/>
        </w:rPr>
        <w:endnoteReference w:id="140"/>
      </w:r>
      <w:r w:rsidRPr="004726FD">
        <w:rPr>
          <w:rFonts w:hint="eastAsia"/>
        </w:rPr>
        <w:t>相人类的《冰鉴》《太清神鉴》《人伦大统赋》等更成为相学精要，为宫廷所秘藏。相比之下相剑文献的命运似乎没有那么好，随着军事上剑的地位的下降和社会上好剑之风的消退，相剑术与相剑书逐渐失传，以致湮灭无闻。通过比较，更可见汉简《相剑刀》册的珍贵意义。</w:t>
      </w:r>
    </w:p>
    <w:p w14:paraId="4916D3D6" w14:textId="77777777" w:rsidR="0044246D" w:rsidRPr="004726FD" w:rsidRDefault="0044246D" w:rsidP="00712FE8">
      <w:pPr>
        <w:pStyle w:val="aff6"/>
        <w:ind w:firstLine="560"/>
        <w:rPr>
          <w:rFonts w:eastAsia="PMingLiU"/>
        </w:rPr>
      </w:pPr>
      <w:r w:rsidRPr="004726FD">
        <w:rPr>
          <w:rFonts w:hint="eastAsia"/>
        </w:rPr>
        <w:t>《汉志》之后，</w:t>
      </w:r>
      <w:r w:rsidRPr="004726FD">
        <w:rPr>
          <w:rFonts w:hint="eastAsia"/>
          <w:szCs w:val="24"/>
          <w:lang w:val="zh-CN"/>
        </w:rPr>
        <w:t>《隋书</w:t>
      </w:r>
      <w:r w:rsidRPr="004726FD">
        <w:rPr>
          <w:rFonts w:hint="eastAsia"/>
          <w:szCs w:val="24"/>
        </w:rPr>
        <w:t>·</w:t>
      </w:r>
      <w:r w:rsidRPr="004726FD">
        <w:rPr>
          <w:rFonts w:hint="eastAsia"/>
          <w:szCs w:val="24"/>
          <w:lang w:val="zh-CN"/>
        </w:rPr>
        <w:t>经籍志》五行类著录</w:t>
      </w:r>
      <w:r w:rsidRPr="004726FD">
        <w:rPr>
          <w:rFonts w:hint="eastAsia"/>
          <w:szCs w:val="24"/>
        </w:rPr>
        <w:t>“</w:t>
      </w:r>
      <w:r w:rsidRPr="004726FD">
        <w:rPr>
          <w:rFonts w:hint="eastAsia"/>
          <w:szCs w:val="24"/>
          <w:lang w:val="zh-CN"/>
        </w:rPr>
        <w:t>《云气占》一卷</w:t>
      </w:r>
      <w:r w:rsidRPr="004726FD">
        <w:rPr>
          <w:rFonts w:hint="eastAsia"/>
          <w:szCs w:val="24"/>
        </w:rPr>
        <w:t>”，</w:t>
      </w:r>
      <w:r w:rsidRPr="004726FD">
        <w:rPr>
          <w:rFonts w:hint="eastAsia"/>
          <w:szCs w:val="24"/>
          <w:lang w:val="zh-CN"/>
        </w:rPr>
        <w:t>其下有小注</w:t>
      </w:r>
      <w:r w:rsidRPr="004726FD">
        <w:rPr>
          <w:rFonts w:hint="eastAsia"/>
          <w:szCs w:val="24"/>
        </w:rPr>
        <w:t>：“</w:t>
      </w:r>
      <w:r w:rsidRPr="004726FD">
        <w:rPr>
          <w:rFonts w:hint="eastAsia"/>
          <w:szCs w:val="24"/>
          <w:lang w:val="zh-CN"/>
        </w:rPr>
        <w:t>梁《望气相山川宝藏秘记》一卷</w:t>
      </w:r>
      <w:r w:rsidRPr="004726FD">
        <w:rPr>
          <w:rFonts w:hint="eastAsia"/>
          <w:szCs w:val="24"/>
        </w:rPr>
        <w:t>，</w:t>
      </w:r>
      <w:r w:rsidRPr="004726FD">
        <w:rPr>
          <w:rFonts w:hint="eastAsia"/>
          <w:szCs w:val="24"/>
          <w:lang w:val="zh-CN"/>
        </w:rPr>
        <w:t>《仙宝剑经》二卷</w:t>
      </w:r>
      <w:r w:rsidRPr="004726FD">
        <w:rPr>
          <w:rFonts w:hint="eastAsia"/>
          <w:szCs w:val="24"/>
        </w:rPr>
        <w:t>，</w:t>
      </w:r>
      <w:r w:rsidRPr="004726FD">
        <w:rPr>
          <w:rFonts w:hint="eastAsia"/>
          <w:szCs w:val="24"/>
          <w:lang w:val="zh-CN"/>
        </w:rPr>
        <w:lastRenderedPageBreak/>
        <w:t>亡。”</w:t>
      </w:r>
      <w:r w:rsidRPr="004726FD">
        <w:rPr>
          <w:rFonts w:hint="eastAsia"/>
        </w:rPr>
        <w:t>姚振宗《隋书经籍志考证》推测，</w:t>
      </w:r>
      <w:r w:rsidRPr="004726FD">
        <w:rPr>
          <w:rFonts w:hint="eastAsia"/>
          <w:szCs w:val="24"/>
          <w:lang w:val="zh-CN"/>
        </w:rPr>
        <w:t>《仙宝剑经》的内容大概与《望气相山川宝藏秘记》相似，“或即《张华传》所载丰城剑气之事”</w:t>
      </w:r>
      <w:r w:rsidRPr="004726FD">
        <w:rPr>
          <w:szCs w:val="24"/>
          <w:vertAlign w:val="superscript"/>
          <w:lang w:val="zh-CN" w:eastAsia="zh-TW"/>
        </w:rPr>
        <w:endnoteReference w:id="141"/>
      </w:r>
      <w:r w:rsidRPr="004726FD">
        <w:rPr>
          <w:rFonts w:hint="eastAsia"/>
          <w:szCs w:val="24"/>
          <w:lang w:val="zh-CN"/>
        </w:rPr>
        <w:t>，属</w:t>
      </w:r>
      <w:r w:rsidRPr="004726FD">
        <w:rPr>
          <w:rFonts w:cs="宋体" w:hint="eastAsia"/>
          <w:szCs w:val="24"/>
          <w:lang w:val="zh-CN"/>
        </w:rPr>
        <w:t>于</w:t>
      </w:r>
      <w:r w:rsidRPr="004726FD">
        <w:rPr>
          <w:rFonts w:hint="eastAsia"/>
          <w:szCs w:val="24"/>
          <w:lang w:val="zh-CN"/>
        </w:rPr>
        <w:t>望气求宝物一类书。</w:t>
      </w:r>
      <w:r w:rsidRPr="004726FD">
        <w:rPr>
          <w:szCs w:val="24"/>
          <w:vertAlign w:val="superscript"/>
          <w:lang w:val="zh-CN" w:eastAsia="zh-TW"/>
        </w:rPr>
        <w:endnoteReference w:id="142"/>
      </w:r>
    </w:p>
    <w:p w14:paraId="0BC9A52B" w14:textId="77777777" w:rsidR="0044246D" w:rsidRPr="004726FD" w:rsidRDefault="0044246D" w:rsidP="00712FE8">
      <w:pPr>
        <w:pStyle w:val="aff6"/>
        <w:ind w:firstLine="560"/>
        <w:rPr>
          <w:rFonts w:eastAsia="PMingLiU"/>
        </w:rPr>
      </w:pPr>
      <w:r w:rsidRPr="004726FD">
        <w:rPr>
          <w:rFonts w:hint="eastAsia"/>
        </w:rPr>
        <w:t>此后有关刀剑的文献，如后汉孙瑞《剑铭》（见于《艺文类聚》卷六十《军器部·剑》）；晋裴景声《文身剑铭》（见于《艺文类聚》卷六十《军器部·剑》）；梁陶弘景《古今刀剑录》（收入《百川学海》《汉魏丛书》《四库全书》《指海》《古今图书集成》刀剑部）；明李承勋《名剑记》（见于《说郛正续合刊》续卷三十六，《古今图书集成》第二百八十六卷中）等，多记载剑的铭文、样貌、形制、掌故等内容，与《相剑刀》的性质完全不同。</w:t>
      </w:r>
    </w:p>
    <w:p w14:paraId="51D20FBA" w14:textId="77777777" w:rsidR="0044246D" w:rsidRPr="004726FD" w:rsidRDefault="0044246D" w:rsidP="00712FE8">
      <w:pPr>
        <w:pStyle w:val="aff6"/>
        <w:ind w:firstLine="560"/>
      </w:pPr>
      <w:r w:rsidRPr="004726FD">
        <w:rPr>
          <w:rFonts w:hint="eastAsia"/>
        </w:rPr>
        <w:t>汉简《相剑刀》册记载的相术是什么时代的呢？</w:t>
      </w:r>
    </w:p>
    <w:p w14:paraId="02B239C0" w14:textId="77777777" w:rsidR="0044246D" w:rsidRPr="004726FD" w:rsidRDefault="0044246D" w:rsidP="00712FE8">
      <w:pPr>
        <w:pStyle w:val="aff6"/>
        <w:ind w:firstLine="560"/>
      </w:pPr>
      <w:r w:rsidRPr="004726FD">
        <w:rPr>
          <w:rFonts w:hint="eastAsia"/>
        </w:rPr>
        <w:t>要回答这一问题，应全面考虑相剑术起源与兴盛的情形。研究者已指出，</w:t>
      </w:r>
      <w:r w:rsidRPr="004726FD">
        <w:rPr>
          <w:rFonts w:hint="eastAsia"/>
          <w:szCs w:val="24"/>
          <w:lang w:val="zh-CN"/>
        </w:rPr>
        <w:t>中国青铜剑正是在春秋晚期趋于成熟、兴盛的，在战争和社会生活中得到了广泛应用，因此推测相剑术约初起于春秋晚期，大致不误。</w:t>
      </w:r>
      <w:r w:rsidRPr="004726FD">
        <w:rPr>
          <w:szCs w:val="24"/>
          <w:vertAlign w:val="superscript"/>
          <w:lang w:val="zh-CN" w:eastAsia="zh-TW"/>
        </w:rPr>
        <w:endnoteReference w:id="143"/>
      </w:r>
      <w:r w:rsidRPr="004726FD">
        <w:rPr>
          <w:rFonts w:hint="eastAsia"/>
        </w:rPr>
        <w:t>《吴越春秋》《越绝书》中都有职业的“相剑家”，秦国人薛烛，是越王勾践时代著名的相剑家；楚国人风胡子，也曾为楚昭王品评名剑。</w:t>
      </w:r>
    </w:p>
    <w:p w14:paraId="0A5E32CD" w14:textId="77777777" w:rsidR="0044246D" w:rsidRPr="004726FD" w:rsidRDefault="0044246D" w:rsidP="00712FE8">
      <w:pPr>
        <w:pStyle w:val="aff6"/>
        <w:ind w:firstLine="560"/>
        <w:rPr>
          <w:rFonts w:eastAsia="PMingLiU"/>
        </w:rPr>
      </w:pPr>
      <w:r w:rsidRPr="004726FD">
        <w:rPr>
          <w:rFonts w:hint="eastAsia"/>
          <w:szCs w:val="24"/>
        </w:rPr>
        <w:t>而</w:t>
      </w:r>
      <w:r w:rsidRPr="004726FD">
        <w:rPr>
          <w:rFonts w:hint="eastAsia"/>
          <w:szCs w:val="24"/>
          <w:lang w:val="zh-CN"/>
        </w:rPr>
        <w:t>春秋晚期至战国时代</w:t>
      </w:r>
      <w:r w:rsidRPr="004726FD">
        <w:rPr>
          <w:rFonts w:hint="eastAsia"/>
          <w:szCs w:val="24"/>
        </w:rPr>
        <w:t>，</w:t>
      </w:r>
      <w:r w:rsidRPr="004726FD">
        <w:rPr>
          <w:rFonts w:hint="eastAsia"/>
        </w:rPr>
        <w:t>铸剑技术领先全国、冠绝当时的，当属</w:t>
      </w:r>
      <w:r w:rsidRPr="004726FD">
        <w:rPr>
          <w:rFonts w:hint="eastAsia"/>
        </w:rPr>
        <w:lastRenderedPageBreak/>
        <w:t>吴越。《考工记·总叙》：“郑之刀，宋之斤，鲁之削，吴粤（越）之剑，迁乎其地，而弗能为良，地气然也。”</w:t>
      </w:r>
      <w:r w:rsidRPr="004726FD">
        <w:rPr>
          <w:vertAlign w:val="superscript"/>
          <w:lang w:eastAsia="zh-TW"/>
        </w:rPr>
        <w:endnoteReference w:id="144"/>
      </w:r>
      <w:r w:rsidRPr="004726FD">
        <w:rPr>
          <w:rFonts w:hint="eastAsia"/>
          <w:lang w:val="zh-CN"/>
        </w:rPr>
        <w:t>《庄子</w:t>
      </w:r>
      <w:r w:rsidRPr="004726FD">
        <w:rPr>
          <w:rFonts w:hint="eastAsia"/>
        </w:rPr>
        <w:t>·</w:t>
      </w:r>
      <w:r w:rsidRPr="004726FD">
        <w:rPr>
          <w:rFonts w:hint="eastAsia"/>
          <w:lang w:val="zh-CN"/>
        </w:rPr>
        <w:t>刻意》</w:t>
      </w:r>
      <w:r w:rsidRPr="004726FD">
        <w:rPr>
          <w:rFonts w:hint="eastAsia"/>
        </w:rPr>
        <w:t>：“夫有干越之剑者，柙而藏之，不敢用也，宝之至也。”</w:t>
      </w:r>
      <w:r w:rsidRPr="004726FD">
        <w:rPr>
          <w:vertAlign w:val="superscript"/>
        </w:rPr>
        <w:endnoteReference w:id="145"/>
      </w:r>
      <w:r w:rsidRPr="004726FD">
        <w:rPr>
          <w:rFonts w:hint="eastAsia"/>
        </w:rPr>
        <w:t>都反映了社会上对吴越宝剑的推崇和追逐。</w:t>
      </w:r>
      <w:r w:rsidRPr="004726FD">
        <w:rPr>
          <w:rFonts w:hint="eastAsia"/>
          <w:szCs w:val="24"/>
          <w:lang w:val="zh-CN"/>
        </w:rPr>
        <w:t>著名的冶剑师</w:t>
      </w:r>
      <w:r w:rsidRPr="004726FD">
        <w:rPr>
          <w:rFonts w:hint="eastAsia"/>
          <w:szCs w:val="24"/>
        </w:rPr>
        <w:t>，如</w:t>
      </w:r>
      <w:r w:rsidRPr="004726FD">
        <w:rPr>
          <w:rFonts w:hint="eastAsia"/>
          <w:szCs w:val="24"/>
          <w:lang w:val="zh-CN"/>
        </w:rPr>
        <w:t>干将、莫邪、欧冶子等</w:t>
      </w:r>
      <w:r w:rsidRPr="004726FD">
        <w:rPr>
          <w:rFonts w:hint="eastAsia"/>
          <w:szCs w:val="24"/>
        </w:rPr>
        <w:t>，也</w:t>
      </w:r>
      <w:r w:rsidRPr="004726FD">
        <w:rPr>
          <w:rFonts w:hint="eastAsia"/>
          <w:szCs w:val="24"/>
          <w:lang w:val="zh-CN"/>
        </w:rPr>
        <w:t>都是吴越人。</w:t>
      </w:r>
    </w:p>
    <w:p w14:paraId="5ACF90DB" w14:textId="77777777" w:rsidR="0044246D" w:rsidRPr="004726FD" w:rsidRDefault="0044246D" w:rsidP="00712FE8">
      <w:pPr>
        <w:pStyle w:val="aff6"/>
        <w:ind w:firstLine="560"/>
        <w:rPr>
          <w:rFonts w:eastAsia="PMingLiU"/>
          <w:szCs w:val="24"/>
        </w:rPr>
      </w:pPr>
      <w:r w:rsidRPr="004726FD">
        <w:rPr>
          <w:rFonts w:hint="eastAsia"/>
          <w:szCs w:val="24"/>
          <w:lang w:val="zh-CN"/>
        </w:rPr>
        <w:t>这样的风气</w:t>
      </w:r>
      <w:r w:rsidRPr="004726FD">
        <w:rPr>
          <w:rFonts w:hint="eastAsia"/>
          <w:szCs w:val="24"/>
        </w:rPr>
        <w:t>，</w:t>
      </w:r>
      <w:r w:rsidRPr="004726FD">
        <w:rPr>
          <w:rFonts w:hint="eastAsia"/>
          <w:szCs w:val="24"/>
          <w:lang w:val="zh-CN"/>
        </w:rPr>
        <w:t>必然使得吴越铸剑工艺成为全国竞相模仿的对象。《吕氏春秋</w:t>
      </w:r>
      <w:r w:rsidRPr="004726FD">
        <w:rPr>
          <w:rFonts w:hint="eastAsia"/>
          <w:szCs w:val="24"/>
        </w:rPr>
        <w:t>·</w:t>
      </w:r>
      <w:r w:rsidRPr="004726FD">
        <w:rPr>
          <w:rFonts w:hint="eastAsia"/>
          <w:szCs w:val="24"/>
          <w:lang w:val="zh-CN"/>
        </w:rPr>
        <w:t>疑似》</w:t>
      </w:r>
      <w:r w:rsidRPr="004726FD">
        <w:rPr>
          <w:rFonts w:hint="eastAsia"/>
          <w:szCs w:val="24"/>
        </w:rPr>
        <w:t>：“</w:t>
      </w:r>
      <w:r w:rsidRPr="004726FD">
        <w:rPr>
          <w:rFonts w:hint="eastAsia"/>
          <w:szCs w:val="24"/>
          <w:lang w:val="zh-CN"/>
        </w:rPr>
        <w:t>使人大迷惑者</w:t>
      </w:r>
      <w:r w:rsidRPr="004726FD">
        <w:rPr>
          <w:rFonts w:hint="eastAsia"/>
          <w:szCs w:val="24"/>
        </w:rPr>
        <w:t>，</w:t>
      </w:r>
      <w:r w:rsidRPr="004726FD">
        <w:rPr>
          <w:rFonts w:hint="eastAsia"/>
          <w:szCs w:val="24"/>
          <w:lang w:val="zh-CN"/>
        </w:rPr>
        <w:t>必物之相似也。玉人之所患，患石之似玉者；相剑者之所患，患剑之似吴干者。”高诱注：“吴干，吴之干将剑也。”</w:t>
      </w:r>
      <w:r w:rsidRPr="004726FD">
        <w:rPr>
          <w:szCs w:val="24"/>
          <w:vertAlign w:val="superscript"/>
          <w:lang w:val="zh-CN" w:eastAsia="zh-TW"/>
        </w:rPr>
        <w:endnoteReference w:id="146"/>
      </w:r>
      <w:r w:rsidRPr="004726FD">
        <w:rPr>
          <w:rFonts w:hint="eastAsia"/>
          <w:szCs w:val="24"/>
          <w:lang w:val="zh-CN"/>
        </w:rPr>
        <w:t>《韩非子</w:t>
      </w:r>
      <w:r w:rsidRPr="004726FD">
        <w:rPr>
          <w:rFonts w:hint="eastAsia"/>
          <w:szCs w:val="24"/>
        </w:rPr>
        <w:t>·</w:t>
      </w:r>
      <w:r w:rsidRPr="004726FD">
        <w:rPr>
          <w:rFonts w:hint="eastAsia"/>
          <w:szCs w:val="24"/>
          <w:lang w:val="zh-CN"/>
        </w:rPr>
        <w:t>说林上》</w:t>
      </w:r>
      <w:r w:rsidRPr="004726FD">
        <w:rPr>
          <w:rFonts w:hint="eastAsia"/>
          <w:szCs w:val="24"/>
        </w:rPr>
        <w:t>记载有相剑者</w:t>
      </w:r>
      <w:r w:rsidRPr="004726FD">
        <w:rPr>
          <w:rFonts w:hint="eastAsia"/>
          <w:szCs w:val="24"/>
          <w:lang w:val="zh-CN"/>
        </w:rPr>
        <w:t>曾从子</w:t>
      </w:r>
      <w:r w:rsidRPr="004726FD">
        <w:rPr>
          <w:rFonts w:hint="eastAsia"/>
          <w:szCs w:val="24"/>
        </w:rPr>
        <w:t>，企图假意迎合好剑的吴王而行刺：“</w:t>
      </w:r>
      <w:r w:rsidRPr="004726FD">
        <w:rPr>
          <w:rFonts w:hint="eastAsia"/>
          <w:szCs w:val="24"/>
          <w:lang w:val="zh-CN"/>
        </w:rPr>
        <w:t>卫君怨吴王，曾从子曰：‘吴王好剑，臣相剑者也，臣请为吴王相剑，拔而示之，因为君刺之。”</w:t>
      </w:r>
      <w:r w:rsidRPr="004726FD">
        <w:rPr>
          <w:szCs w:val="24"/>
          <w:vertAlign w:val="superscript"/>
          <w:lang w:val="zh-CN" w:eastAsia="zh-TW"/>
        </w:rPr>
        <w:endnoteReference w:id="147"/>
      </w:r>
      <w:r w:rsidRPr="004726FD">
        <w:rPr>
          <w:rFonts w:hint="eastAsia"/>
          <w:szCs w:val="24"/>
          <w:lang w:val="zh-CN"/>
        </w:rPr>
        <w:t>可想而知，</w:t>
      </w:r>
      <w:r w:rsidRPr="004726FD">
        <w:rPr>
          <w:rFonts w:hint="eastAsia"/>
        </w:rPr>
        <w:t>为了满足这样的相剑需求，相剑术本身也一定受到吴越宝剑很大程度上的影响。</w:t>
      </w:r>
    </w:p>
    <w:p w14:paraId="67F4FCBC" w14:textId="77777777" w:rsidR="0044246D" w:rsidRPr="004726FD" w:rsidRDefault="0044246D" w:rsidP="00712FE8">
      <w:pPr>
        <w:pStyle w:val="aff6"/>
        <w:ind w:firstLine="560"/>
        <w:rPr>
          <w:rFonts w:eastAsia="PMingLiU"/>
        </w:rPr>
      </w:pPr>
      <w:r w:rsidRPr="004726FD">
        <w:rPr>
          <w:rFonts w:hint="eastAsia"/>
        </w:rPr>
        <w:t>有鉴于此，本文与之前的研究在根本上的不同是，没有将所相的剑看作钢铁剑而是青铜剑；没有将《相剑刀》册看作一篇两汉之际的实用文献而是（至少主体）传自先秦的典籍。根据兵器史方面的研究，进入汉代以后，武器更多用刀，剑已退居次要地位。而简文却是以剑为主，有关刀的部分仅用一句“与剑同等”一带而过。这也许可以作</w:t>
      </w:r>
      <w:r w:rsidRPr="004726FD">
        <w:rPr>
          <w:rFonts w:hint="eastAsia"/>
        </w:rPr>
        <w:lastRenderedPageBreak/>
        <w:t>为我们看法的一点证据。更重要的是，通过上文的训解和阐释，我们发现很多简文以吴越青铜剑的视角来分析，较以往视作钢铁剑来的更加合理，如“骍”所暗示的青铜成色，“白、黑坚”及“逢”反映的复合剑技术，“悬薄文”所代表的菱形暗格纹样等等。</w:t>
      </w:r>
    </w:p>
    <w:p w14:paraId="3C90AB63" w14:textId="77777777" w:rsidR="004726FD" w:rsidRPr="004726FD" w:rsidRDefault="0044246D" w:rsidP="00712FE8">
      <w:pPr>
        <w:pStyle w:val="aff6"/>
        <w:ind w:firstLine="560"/>
        <w:rPr>
          <w:rFonts w:eastAsia="PMingLiU"/>
        </w:rPr>
      </w:pPr>
      <w:r w:rsidRPr="004726FD">
        <w:rPr>
          <w:rFonts w:hint="eastAsia"/>
        </w:rPr>
        <w:t>在此还需要交待的是，</w:t>
      </w:r>
      <w:r w:rsidRPr="004726FD">
        <w:rPr>
          <w:rFonts w:hint="eastAsia"/>
          <w:lang w:val="zh-CN"/>
        </w:rPr>
        <w:t>以往认为青铜兵器在铸造完成后</w:t>
      </w:r>
      <w:r w:rsidRPr="004726FD">
        <w:rPr>
          <w:rFonts w:hint="eastAsia"/>
        </w:rPr>
        <w:t>，</w:t>
      </w:r>
      <w:r w:rsidRPr="004726FD">
        <w:rPr>
          <w:rFonts w:hint="eastAsia"/>
          <w:lang w:val="zh-CN"/>
        </w:rPr>
        <w:t>仅经过锉磨抛光等处理</w:t>
      </w:r>
      <w:r w:rsidRPr="004726FD">
        <w:rPr>
          <w:rFonts w:hint="eastAsia"/>
        </w:rPr>
        <w:t>，</w:t>
      </w:r>
      <w:r w:rsidRPr="004726FD">
        <w:rPr>
          <w:rFonts w:hint="eastAsia"/>
          <w:lang w:val="zh-CN"/>
        </w:rPr>
        <w:t>而不认为有过加热锻打的工艺。王学理在《秦俑坑青铜器的科技成就管窥》一文中说</w:t>
      </w:r>
      <w:r w:rsidRPr="004726FD">
        <w:rPr>
          <w:rFonts w:hint="eastAsia"/>
        </w:rPr>
        <w:t>：“</w:t>
      </w:r>
      <w:r w:rsidRPr="004726FD">
        <w:rPr>
          <w:rFonts w:hint="eastAsia"/>
          <w:lang w:val="zh-CN"/>
        </w:rPr>
        <w:t>秦剑、戈的内部组织结构严密</w:t>
      </w:r>
      <w:r w:rsidRPr="004726FD">
        <w:rPr>
          <w:rFonts w:hint="eastAsia"/>
        </w:rPr>
        <w:t>，</w:t>
      </w:r>
      <w:r w:rsidRPr="004726FD">
        <w:rPr>
          <w:rFonts w:hint="eastAsia"/>
          <w:lang w:val="zh-CN"/>
        </w:rPr>
        <w:t>无气泡的存在</w:t>
      </w:r>
      <w:r w:rsidRPr="004726FD">
        <w:rPr>
          <w:rFonts w:hint="eastAsia"/>
        </w:rPr>
        <w:t>，</w:t>
      </w:r>
      <w:r w:rsidRPr="004726FD">
        <w:rPr>
          <w:rFonts w:hint="eastAsia"/>
          <w:lang w:val="zh-CN"/>
        </w:rPr>
        <w:t>表层的硬度高于内部。这除了掌握纯熟的冶铸技术外，还必定经过加热锻打以消除内应力，使分子结合紧密，组织细化，表面整洁。</w:t>
      </w:r>
      <w:r w:rsidRPr="004726FD">
        <w:rPr>
          <w:rFonts w:hint="eastAsia"/>
          <w:lang w:val="zh-CN" w:eastAsia="zh-TW"/>
        </w:rPr>
        <w:t>”</w:t>
      </w:r>
      <w:r w:rsidRPr="004726FD">
        <w:rPr>
          <w:vertAlign w:val="superscript"/>
          <w:lang w:val="zh-CN" w:eastAsia="zh-TW"/>
        </w:rPr>
        <w:endnoteReference w:id="148"/>
      </w:r>
      <w:r w:rsidRPr="004726FD">
        <w:rPr>
          <w:rFonts w:hint="eastAsia"/>
          <w:lang w:val="zh-CN"/>
        </w:rPr>
        <w:t>战国时代广东德庆、广宁、罗定出土的三件铜斧，以及佛岗县出土的一把复合剑，金相组织都显示它们曾经过反复加热锻打，获得充分退火条件，从而大大改善其韧性，不易折断。</w:t>
      </w:r>
      <w:r w:rsidRPr="004726FD">
        <w:rPr>
          <w:vertAlign w:val="superscript"/>
          <w:lang w:val="zh-CN" w:eastAsia="zh-TW"/>
        </w:rPr>
        <w:endnoteReference w:id="149"/>
      </w:r>
      <w:r w:rsidRPr="004726FD">
        <w:rPr>
          <w:rFonts w:hint="eastAsia"/>
          <w:lang w:val="zh-CN"/>
        </w:rPr>
        <w:t>这</w:t>
      </w:r>
      <w:r w:rsidR="004726FD" w:rsidRPr="004726FD">
        <w:rPr>
          <w:rFonts w:hint="eastAsia"/>
          <w:lang w:val="zh-CN"/>
        </w:rPr>
        <w:t>些文物实证的发现，给我们在青铜剑的前提下释“推”为“椎”提供了支持。</w:t>
      </w:r>
    </w:p>
    <w:p w14:paraId="150BCECF" w14:textId="77777777" w:rsidR="004726FD" w:rsidRPr="004726FD" w:rsidRDefault="004726FD" w:rsidP="00712FE8">
      <w:pPr>
        <w:pStyle w:val="aff6"/>
        <w:ind w:firstLine="560"/>
      </w:pPr>
      <w:r w:rsidRPr="004726FD">
        <w:rPr>
          <w:rFonts w:hint="eastAsia"/>
        </w:rPr>
        <w:t>因此我们的结论是：</w:t>
      </w:r>
    </w:p>
    <w:p w14:paraId="72E0EBC8" w14:textId="610F32EA" w:rsidR="00F625C4" w:rsidRDefault="004726FD" w:rsidP="00712FE8">
      <w:pPr>
        <w:pStyle w:val="aff6"/>
        <w:ind w:firstLine="560"/>
      </w:pPr>
      <w:r w:rsidRPr="004726FD">
        <w:rPr>
          <w:rFonts w:hint="eastAsia"/>
        </w:rPr>
        <w:t>汉简《相剑刀》可能并不表明汉代的刀剑情况，而应该是延续春秋战国吴越相剑传统的一些观念和说法的相剑书，也可能是相关思想和知识层累形成的形法书。</w:t>
      </w:r>
    </w:p>
    <w:p w14:paraId="68913036" w14:textId="77777777" w:rsidR="00046688" w:rsidRDefault="00046688" w:rsidP="00712FE8">
      <w:pPr>
        <w:pStyle w:val="aff6"/>
        <w:ind w:firstLine="560"/>
      </w:pPr>
    </w:p>
    <w:p w14:paraId="2A613AFC" w14:textId="4D4F4FCF" w:rsidR="00046688" w:rsidRPr="004726FD" w:rsidRDefault="00046688" w:rsidP="00712FE8">
      <w:pPr>
        <w:pStyle w:val="aff6"/>
        <w:ind w:firstLine="560"/>
        <w:rPr>
          <w:rFonts w:hint="eastAsia"/>
        </w:rPr>
      </w:pPr>
      <w:r w:rsidRPr="00046688">
        <w:rPr>
          <w:rFonts w:hint="eastAsia"/>
        </w:rPr>
        <w:lastRenderedPageBreak/>
        <w:t>本文原载《清华大学学报（哲学社会科学版）》</w:t>
      </w:r>
      <w:r w:rsidRPr="00046688">
        <w:t>2024年第3期，第203—223页</w:t>
      </w:r>
    </w:p>
    <w:sectPr w:rsidR="00046688" w:rsidRPr="004726FD">
      <w:headerReference w:type="default" r:id="rId42"/>
      <w:footerReference w:type="even" r:id="rId43"/>
      <w:footerReference w:type="default" r:id="rId44"/>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A81CC" w14:textId="77777777" w:rsidR="005E5685" w:rsidRDefault="005E5685">
      <w:r>
        <w:separator/>
      </w:r>
    </w:p>
  </w:endnote>
  <w:endnote w:type="continuationSeparator" w:id="0">
    <w:p w14:paraId="44ADD80D" w14:textId="77777777" w:rsidR="005E5685" w:rsidRDefault="005E5685">
      <w:r>
        <w:continuationSeparator/>
      </w:r>
    </w:p>
  </w:endnote>
  <w:endnote w:id="1">
    <w:p w14:paraId="47B71E35" w14:textId="77777777" w:rsidR="0044246D" w:rsidRDefault="0044246D" w:rsidP="004726FD">
      <w:pPr>
        <w:pStyle w:val="ad"/>
        <w:ind w:firstLine="360"/>
        <w:rPr>
          <w:rFonts w:eastAsia="PMingLiU"/>
        </w:rPr>
      </w:pPr>
      <w:r>
        <w:rPr>
          <w:rStyle w:val="afd"/>
        </w:rPr>
        <w:endnoteRef/>
      </w:r>
      <w:r>
        <w:rPr>
          <w:rFonts w:hint="eastAsia"/>
        </w:rPr>
        <w:t xml:space="preserve"> 甘肃省博物馆汉简整理组：《居延汉简〈相剑刀〉册释文》，《敦煌学辑刊》1982年总第3期；马明达：《居延汉简〈相剑刀〉册初探》，《敦煌学辑刊》1982年总第3期。</w:t>
      </w:r>
    </w:p>
  </w:endnote>
  <w:endnote w:id="2">
    <w:p w14:paraId="570EA70D" w14:textId="77777777" w:rsidR="0044246D" w:rsidRDefault="0044246D" w:rsidP="004726FD">
      <w:pPr>
        <w:pStyle w:val="ad"/>
        <w:ind w:firstLine="360"/>
      </w:pPr>
      <w:r>
        <w:rPr>
          <w:rStyle w:val="afd"/>
        </w:rPr>
        <w:endnoteRef/>
      </w:r>
      <w:r>
        <w:rPr>
          <w:rFonts w:hint="eastAsia"/>
        </w:rPr>
        <w:t xml:space="preserve"> 李零：《中国方术考》，北京：人民中国出版社，1993年，第79-81页；钟少异：《古相剑术刍论》，《考古》1994年第4期；钟少异：《龙泉霜雪——古剑的历史和传说》，北京：三联书店，1998年，第252—253页；沈云韬：《新居延汉简〈相宝剑刀〉册之初步探讨》，《简牍学报》1999年总第十七期；马明达：《中国古代的相剑法》，《文史知识》2000年第1期；陈力：《〈居延新简〉相利善刀剑诸简选释》，《考古与文物》2002年第6期；刘金华：《汉“相剑刀册”略说》，《中国历史文物》2008年第3期；何茂活：《居延汉简相剑刀册释读析疑》，《简牍学研究》第五辑，兰州：甘肃人民出版社，2014年，第85-98页；苏辉：《居延汉简〈相利善剑〉覈议》，“居延遗址学术研讨会”论文，内蒙古自治区额济纳旗，2019年10月。</w:t>
      </w:r>
    </w:p>
  </w:endnote>
  <w:endnote w:id="3">
    <w:p w14:paraId="682B88B8" w14:textId="77777777" w:rsidR="0044246D" w:rsidRDefault="0044246D" w:rsidP="004726FD">
      <w:pPr>
        <w:pStyle w:val="ad"/>
        <w:ind w:firstLine="360"/>
      </w:pPr>
      <w:r>
        <w:rPr>
          <w:rStyle w:val="afd"/>
        </w:rPr>
        <w:endnoteRef/>
      </w:r>
      <w:r>
        <w:rPr>
          <w:rFonts w:hint="eastAsia"/>
        </w:rPr>
        <w:t xml:space="preserve"> 韩华、狄晓霞：《居延汉简〈相宝剑刀〉册研究综述》，《丝绸之路》2009年第20期。</w:t>
      </w:r>
    </w:p>
  </w:endnote>
  <w:endnote w:id="4">
    <w:p w14:paraId="6928E35E" w14:textId="77777777" w:rsidR="0044246D" w:rsidRDefault="0044246D" w:rsidP="004726FD">
      <w:pPr>
        <w:pStyle w:val="ad"/>
        <w:ind w:firstLine="360"/>
      </w:pPr>
      <w:r>
        <w:rPr>
          <w:rStyle w:val="afd"/>
        </w:rPr>
        <w:endnoteRef/>
      </w:r>
      <w:r>
        <w:rPr>
          <w:rFonts w:hint="eastAsia"/>
        </w:rPr>
        <w:t xml:space="preserve"> 西林昭一『簡牘名蹟選6·甘粛篇（一）』、二玄社、2009年、26-31頁；《西汉居延相利善剑简》，《中国书法》2013年第6期；西北师范大学历史文化学院、甘肃简牍博物馆编：《简牍学研究（第五辑）》，兰州：甘肃人民出版社，2014年，书前扉页；上海书画出版社编：《中国碑帖名品19·秦汉简帛名品（上）》，上海：上海书画出版社，2015年，第22-27页；乔雁群：《西汉木简〈相利善剑册〉》，《少儿国学》2018年第5期；张德芳主编，杨眉著：《居延新简集释（二）》，第22-23、160-161页。</w:t>
      </w:r>
    </w:p>
  </w:endnote>
  <w:endnote w:id="5">
    <w:p w14:paraId="60A775E6" w14:textId="77777777" w:rsidR="0044246D" w:rsidRDefault="0044246D" w:rsidP="004726FD">
      <w:pPr>
        <w:pStyle w:val="ad"/>
        <w:ind w:firstLine="360"/>
      </w:pPr>
      <w:r>
        <w:rPr>
          <w:rStyle w:val="afd"/>
        </w:rPr>
        <w:endnoteRef/>
      </w:r>
      <w:r>
        <w:rPr>
          <w:rFonts w:hint="eastAsia"/>
        </w:rPr>
        <w:t xml:space="preserve"> 阮元：《十三经注疏（清嘉庆刊本）·礼记正义》，北京：中华书局，2009年，第3543页。</w:t>
      </w:r>
    </w:p>
  </w:endnote>
  <w:endnote w:id="6">
    <w:p w14:paraId="1362CFD9" w14:textId="77777777" w:rsidR="0044246D" w:rsidRDefault="0044246D" w:rsidP="004726FD">
      <w:pPr>
        <w:pStyle w:val="ad"/>
        <w:ind w:firstLine="360"/>
      </w:pPr>
      <w:r>
        <w:rPr>
          <w:rStyle w:val="afd"/>
        </w:rPr>
        <w:endnoteRef/>
      </w:r>
      <w:r>
        <w:rPr>
          <w:rFonts w:hint="eastAsia"/>
        </w:rPr>
        <w:t xml:space="preserve"> 许慎：《说文解字》，北京：中华书局，2013年影印本，第27页上、第52页下。</w:t>
      </w:r>
    </w:p>
  </w:endnote>
  <w:endnote w:id="7">
    <w:p w14:paraId="50CC82C2" w14:textId="77777777" w:rsidR="0044246D" w:rsidRDefault="0044246D" w:rsidP="004726FD">
      <w:pPr>
        <w:pStyle w:val="ad"/>
        <w:ind w:firstLine="360"/>
      </w:pPr>
      <w:r>
        <w:rPr>
          <w:rStyle w:val="afd"/>
        </w:rPr>
        <w:endnoteRef/>
      </w:r>
      <w:r>
        <w:rPr>
          <w:rFonts w:hint="eastAsia"/>
        </w:rPr>
        <w:t xml:space="preserve"> 姚思廉：《梁书》卷五十一《陶弘景传》，北京：中华书局，2020年标点本，第823页。其中“威胜”原作“成胜”，校勘记云：“‘成胜’，《太平广记》卷二三一《陶贞白》引《芝田录》作‘宝胜’，《玉海》卷一五一《刀剑录》注引《陶弘景传》作‘威胜’。按《类聚》卷六〇、《御览》卷三四六有梁简文帝《谢赉善胜威胜刀启》。”今据改。</w:t>
      </w:r>
    </w:p>
  </w:endnote>
  <w:endnote w:id="8">
    <w:p w14:paraId="50C13EE4" w14:textId="77777777" w:rsidR="0044246D" w:rsidRDefault="0044246D" w:rsidP="004726FD">
      <w:pPr>
        <w:pStyle w:val="ad"/>
        <w:ind w:firstLine="360"/>
      </w:pPr>
      <w:r>
        <w:rPr>
          <w:rStyle w:val="afd"/>
        </w:rPr>
        <w:endnoteRef/>
      </w:r>
      <w:r>
        <w:rPr>
          <w:rFonts w:hint="eastAsia"/>
        </w:rPr>
        <w:t xml:space="preserve"> 孙诒让：《周礼正义》卷七十八，北京：中华书局，2015年标点本，第</w:t>
      </w:r>
      <w:r>
        <w:rPr>
          <w:rFonts w:eastAsia="等线" w:hint="eastAsia"/>
        </w:rPr>
        <w:t>3911-</w:t>
      </w:r>
      <w:r>
        <w:rPr>
          <w:rFonts w:hint="eastAsia"/>
        </w:rPr>
        <w:t>3912页。</w:t>
      </w:r>
    </w:p>
  </w:endnote>
  <w:endnote w:id="9">
    <w:p w14:paraId="209698AE" w14:textId="77777777" w:rsidR="0044246D" w:rsidRDefault="0044246D" w:rsidP="004726FD">
      <w:pPr>
        <w:pStyle w:val="ad"/>
        <w:ind w:firstLine="360"/>
      </w:pPr>
      <w:r>
        <w:rPr>
          <w:rStyle w:val="afd"/>
        </w:rPr>
        <w:endnoteRef/>
      </w:r>
      <w:r>
        <w:rPr>
          <w:rFonts w:hint="eastAsia"/>
        </w:rPr>
        <w:t xml:space="preserve"> 闻人军：《考工记译注》，上海：上海古籍出版社，1993年，第36页。</w:t>
      </w:r>
    </w:p>
  </w:endnote>
  <w:endnote w:id="10">
    <w:p w14:paraId="4C6C1B9C" w14:textId="77777777" w:rsidR="0044246D" w:rsidRDefault="0044246D" w:rsidP="004726FD">
      <w:pPr>
        <w:pStyle w:val="ad"/>
        <w:ind w:firstLine="360"/>
      </w:pPr>
      <w:r>
        <w:rPr>
          <w:rStyle w:val="afd"/>
        </w:rPr>
        <w:endnoteRef/>
      </w:r>
      <w:r>
        <w:rPr>
          <w:rFonts w:hint="eastAsia"/>
        </w:rPr>
        <w:t xml:space="preserve"> 后德俊：《楚文物与〈考工记〉的对照研究》，《中国科技史料》1996年第1期。</w:t>
      </w:r>
    </w:p>
  </w:endnote>
  <w:endnote w:id="11">
    <w:p w14:paraId="6A6C05B0" w14:textId="77777777" w:rsidR="0044246D" w:rsidRDefault="0044246D" w:rsidP="004726FD">
      <w:pPr>
        <w:pStyle w:val="ad"/>
        <w:ind w:firstLine="360"/>
      </w:pPr>
      <w:r>
        <w:rPr>
          <w:rStyle w:val="afd"/>
        </w:rPr>
        <w:endnoteRef/>
      </w:r>
      <w:r>
        <w:rPr>
          <w:rFonts w:hint="eastAsia"/>
          <w:lang w:val="zh-CN"/>
        </w:rPr>
        <w:t xml:space="preserve"> 许维遹</w:t>
      </w:r>
      <w:r>
        <w:rPr>
          <w:rFonts w:hint="eastAsia"/>
        </w:rPr>
        <w:t>：</w:t>
      </w:r>
      <w:r>
        <w:rPr>
          <w:rFonts w:hint="eastAsia"/>
          <w:lang w:val="zh-CN"/>
        </w:rPr>
        <w:t>《韩诗外传集释》</w:t>
      </w:r>
      <w:r>
        <w:rPr>
          <w:rFonts w:hint="eastAsia"/>
        </w:rPr>
        <w:t>，北京：</w:t>
      </w:r>
      <w:r>
        <w:rPr>
          <w:rFonts w:hint="eastAsia"/>
          <w:lang w:val="zh-CN"/>
        </w:rPr>
        <w:t>中华书局</w:t>
      </w:r>
      <w:r>
        <w:rPr>
          <w:rFonts w:hint="eastAsia"/>
        </w:rPr>
        <w:t>，1980</w:t>
      </w:r>
      <w:r>
        <w:rPr>
          <w:rFonts w:hint="eastAsia"/>
          <w:lang w:val="zh-CN"/>
        </w:rPr>
        <w:t>年</w:t>
      </w:r>
      <w:r>
        <w:rPr>
          <w:rFonts w:hint="eastAsia"/>
        </w:rPr>
        <w:t>，</w:t>
      </w:r>
      <w:r>
        <w:rPr>
          <w:rFonts w:hint="eastAsia"/>
          <w:lang w:val="zh-CN"/>
        </w:rPr>
        <w:t>第</w:t>
      </w:r>
      <w:r>
        <w:rPr>
          <w:rFonts w:hint="eastAsia"/>
        </w:rPr>
        <w:t>98</w:t>
      </w:r>
      <w:r>
        <w:rPr>
          <w:rFonts w:hint="eastAsia"/>
          <w:lang w:val="zh-CN"/>
        </w:rPr>
        <w:t>页。</w:t>
      </w:r>
    </w:p>
  </w:endnote>
  <w:endnote w:id="12">
    <w:p w14:paraId="4D231EDB" w14:textId="77777777" w:rsidR="0044246D" w:rsidRDefault="0044246D" w:rsidP="004726FD">
      <w:pPr>
        <w:pStyle w:val="ad"/>
        <w:ind w:firstLine="360"/>
      </w:pPr>
      <w:r>
        <w:rPr>
          <w:rStyle w:val="afd"/>
        </w:rPr>
        <w:endnoteRef/>
      </w:r>
      <w:r>
        <w:rPr>
          <w:rFonts w:hint="eastAsia"/>
        </w:rPr>
        <w:t xml:space="preserve"> 马明达：《司马迁〈史记〉与剑》，见马廉祯主编：《武学：武术史与武术文献学》，广州：广东人民出版社，2019年，第51页。</w:t>
      </w:r>
    </w:p>
  </w:endnote>
  <w:endnote w:id="13">
    <w:p w14:paraId="5763A34E" w14:textId="77777777" w:rsidR="0044246D" w:rsidRDefault="0044246D" w:rsidP="004726FD">
      <w:pPr>
        <w:pStyle w:val="ad"/>
        <w:ind w:firstLine="360"/>
      </w:pPr>
      <w:r>
        <w:rPr>
          <w:rStyle w:val="afd"/>
        </w:rPr>
        <w:endnoteRef/>
      </w:r>
      <w:r>
        <w:rPr>
          <w:rFonts w:hint="eastAsia"/>
        </w:rPr>
        <w:t xml:space="preserve"> 《史记·梁孝王世家》：“刺</w:t>
      </w:r>
      <w:r>
        <w:rPr>
          <w:rFonts w:hint="eastAsia"/>
          <w:lang w:val="zh-CN"/>
        </w:rPr>
        <w:t>之</w:t>
      </w:r>
      <w:r>
        <w:rPr>
          <w:rFonts w:hint="eastAsia"/>
        </w:rPr>
        <w:t>（引者按，指袁盎），</w:t>
      </w:r>
      <w:r>
        <w:rPr>
          <w:rFonts w:hint="eastAsia"/>
          <w:lang w:val="zh-CN"/>
        </w:rPr>
        <w:t>置其剑</w:t>
      </w:r>
      <w:r>
        <w:rPr>
          <w:rFonts w:hint="eastAsia"/>
        </w:rPr>
        <w:t>，</w:t>
      </w:r>
      <w:r>
        <w:rPr>
          <w:rFonts w:hint="eastAsia"/>
          <w:lang w:val="zh-CN"/>
        </w:rPr>
        <w:t>剑着身。视其剑，新治。问长安中削厉工</w:t>
      </w:r>
      <w:r>
        <w:rPr>
          <w:rFonts w:hint="eastAsia"/>
        </w:rPr>
        <w:t>，工曰：‘梁郎某子来治此剑。’以</w:t>
      </w:r>
      <w:r>
        <w:rPr>
          <w:rFonts w:hint="eastAsia"/>
          <w:lang w:val="zh-CN"/>
        </w:rPr>
        <w:t>此知而发觉之，发使者捕</w:t>
      </w:r>
      <w:r>
        <w:rPr>
          <w:rFonts w:hint="eastAsia"/>
        </w:rPr>
        <w:t>逐之。”司马迁：《史记》卷五十八《梁孝王世家》，北京：中华书局，2013年标点本，第2528页。亦见上引马明达《司马迁〈史记〉与剑》文。</w:t>
      </w:r>
    </w:p>
  </w:endnote>
  <w:endnote w:id="14">
    <w:p w14:paraId="247CC8D2" w14:textId="77777777" w:rsidR="0044246D" w:rsidRDefault="0044246D" w:rsidP="004726FD">
      <w:pPr>
        <w:pStyle w:val="ad"/>
        <w:ind w:firstLine="360"/>
      </w:pPr>
      <w:r>
        <w:rPr>
          <w:rStyle w:val="afd"/>
        </w:rPr>
        <w:endnoteRef/>
      </w:r>
      <w:r>
        <w:rPr>
          <w:rFonts w:hint="eastAsia"/>
        </w:rPr>
        <w:t xml:space="preserve"> 范晔：《后汉书》卷二十六《韦彪传》，北京：中华书局，1965年标点本，第918页。</w:t>
      </w:r>
    </w:p>
  </w:endnote>
  <w:endnote w:id="15">
    <w:p w14:paraId="6230DFD4" w14:textId="77777777" w:rsidR="0044246D" w:rsidRDefault="0044246D" w:rsidP="004726FD">
      <w:pPr>
        <w:pStyle w:val="ad"/>
        <w:ind w:firstLine="360"/>
      </w:pPr>
      <w:r>
        <w:rPr>
          <w:rStyle w:val="afd"/>
        </w:rPr>
        <w:endnoteRef/>
      </w:r>
      <w:r>
        <w:rPr>
          <w:rFonts w:hint="eastAsia"/>
        </w:rPr>
        <w:t xml:space="preserve"> 王先慎：《韩非子集解》，北京：中华书局，1998年，第343页。</w:t>
      </w:r>
    </w:p>
  </w:endnote>
  <w:endnote w:id="16">
    <w:p w14:paraId="0807A30F" w14:textId="77777777" w:rsidR="0044246D" w:rsidRDefault="0044246D" w:rsidP="004726FD">
      <w:pPr>
        <w:pStyle w:val="ad"/>
        <w:ind w:firstLine="360"/>
      </w:pPr>
      <w:r>
        <w:rPr>
          <w:rStyle w:val="afd"/>
        </w:rPr>
        <w:endnoteRef/>
      </w:r>
      <w:r>
        <w:rPr>
          <w:rFonts w:hint="eastAsia"/>
        </w:rPr>
        <w:t xml:space="preserve"> 黄晖：《论衡校释（上）》，北京：中华书局，2018年，第86页。</w:t>
      </w:r>
    </w:p>
  </w:endnote>
  <w:endnote w:id="17">
    <w:p w14:paraId="28071E2A" w14:textId="77777777" w:rsidR="0044246D" w:rsidRDefault="0044246D" w:rsidP="004726FD">
      <w:pPr>
        <w:pStyle w:val="ad"/>
        <w:ind w:firstLine="360"/>
        <w:rPr>
          <w:rFonts w:eastAsia="PMingLiU"/>
        </w:rPr>
      </w:pPr>
      <w:r>
        <w:rPr>
          <w:rStyle w:val="afd"/>
        </w:rPr>
        <w:endnoteRef/>
      </w:r>
      <w:r>
        <w:rPr>
          <w:rFonts w:hint="eastAsia"/>
        </w:rPr>
        <w:t xml:space="preserve"> 徐坚等：《初学记》卷第二十二《武部》，北京：中华书局，2004年标点本，第529页。敦煌文书P.3619、P.3885并有此诗，题做《宝剑篇》，“锻”并作“断”，假借字。见徐俊：《敦煌诗集残卷辑考》，北京：中华书局，2000年，第297页。</w:t>
      </w:r>
    </w:p>
  </w:endnote>
  <w:endnote w:id="18">
    <w:p w14:paraId="341CEF13" w14:textId="77777777" w:rsidR="0044246D" w:rsidRDefault="0044246D" w:rsidP="004726FD">
      <w:pPr>
        <w:pStyle w:val="ad"/>
        <w:ind w:firstLine="360"/>
      </w:pPr>
      <w:r>
        <w:rPr>
          <w:rStyle w:val="afd"/>
        </w:rPr>
        <w:endnoteRef/>
      </w:r>
      <w:r>
        <w:rPr>
          <w:rFonts w:hint="eastAsia"/>
        </w:rPr>
        <w:t xml:space="preserve"> 按“铁刀”当为“铁剑”，见</w:t>
      </w:r>
      <w:r>
        <w:rPr>
          <w:rFonts w:hint="eastAsia"/>
          <w:lang w:val="zh-CN"/>
        </w:rPr>
        <w:t>徐州博物馆</w:t>
      </w:r>
      <w:r>
        <w:rPr>
          <w:rFonts w:hint="eastAsia"/>
        </w:rPr>
        <w:t>：</w:t>
      </w:r>
      <w:r>
        <w:rPr>
          <w:rFonts w:hint="eastAsia"/>
          <w:lang w:val="zh-CN"/>
        </w:rPr>
        <w:t>《徐州发现东汉建初二年五十湅钢剑》</w:t>
      </w:r>
      <w:r>
        <w:rPr>
          <w:rFonts w:hint="eastAsia"/>
        </w:rPr>
        <w:t>，</w:t>
      </w:r>
      <w:r>
        <w:rPr>
          <w:rFonts w:hint="eastAsia"/>
          <w:lang w:val="zh-CN"/>
        </w:rPr>
        <w:t>《文物》</w:t>
      </w:r>
      <w:r>
        <w:rPr>
          <w:rFonts w:hint="eastAsia"/>
        </w:rPr>
        <w:t>1979</w:t>
      </w:r>
      <w:r>
        <w:rPr>
          <w:rFonts w:hint="eastAsia"/>
          <w:lang w:val="zh-CN"/>
        </w:rPr>
        <w:t>年第</w:t>
      </w:r>
      <w:r>
        <w:rPr>
          <w:rFonts w:hint="eastAsia"/>
        </w:rPr>
        <w:t>7</w:t>
      </w:r>
      <w:r>
        <w:rPr>
          <w:rFonts w:hint="eastAsia"/>
          <w:lang w:val="zh-CN"/>
        </w:rPr>
        <w:t>期。</w:t>
      </w:r>
    </w:p>
  </w:endnote>
  <w:endnote w:id="19">
    <w:p w14:paraId="550C801F" w14:textId="77777777" w:rsidR="0044246D" w:rsidRDefault="0044246D" w:rsidP="004726FD">
      <w:pPr>
        <w:pStyle w:val="ad"/>
        <w:ind w:firstLine="360"/>
      </w:pPr>
      <w:r>
        <w:rPr>
          <w:rStyle w:val="afd"/>
        </w:rPr>
        <w:endnoteRef/>
      </w:r>
      <w:r>
        <w:rPr>
          <w:rFonts w:hint="eastAsia"/>
        </w:rPr>
        <w:t xml:space="preserve"> 参看孙机：《百炼钢刀剑与相关问题》，《仰观集：古文物的欣赏与鉴别（修订本）》，北京：文物出版社，2015年，第146-158页。</w:t>
      </w:r>
    </w:p>
  </w:endnote>
  <w:endnote w:id="20">
    <w:p w14:paraId="5B9C0565" w14:textId="77777777" w:rsidR="0044246D" w:rsidRDefault="0044246D" w:rsidP="004726FD">
      <w:pPr>
        <w:pStyle w:val="ad"/>
        <w:ind w:firstLine="360"/>
      </w:pPr>
      <w:r>
        <w:rPr>
          <w:rStyle w:val="afd"/>
        </w:rPr>
        <w:endnoteRef/>
      </w:r>
      <w:r>
        <w:rPr>
          <w:rFonts w:hint="eastAsia"/>
        </w:rPr>
        <w:t xml:space="preserve"> 许维遹：《吕氏春秋集释》，北京：中华书局，2009年，第694页。</w:t>
      </w:r>
    </w:p>
  </w:endnote>
  <w:endnote w:id="21">
    <w:p w14:paraId="0B87CF42" w14:textId="77777777" w:rsidR="0044246D" w:rsidRDefault="0044246D" w:rsidP="004726FD">
      <w:pPr>
        <w:pStyle w:val="ad"/>
        <w:ind w:firstLine="360"/>
      </w:pPr>
      <w:r>
        <w:rPr>
          <w:rStyle w:val="afd"/>
        </w:rPr>
        <w:endnoteRef/>
      </w:r>
      <w:r>
        <w:rPr>
          <w:rFonts w:hint="eastAsia"/>
        </w:rPr>
        <w:t xml:space="preserve"> 康博文：《</w:t>
      </w:r>
      <w:r w:rsidRPr="0044246D">
        <w:t>敦煌汉简释文校订及相关问题研究》，硕士学位论文，上海：复旦大学，2022年</w:t>
      </w:r>
      <w:r>
        <w:rPr>
          <w:rFonts w:hint="eastAsia"/>
        </w:rPr>
        <w:t>，第37页。</w:t>
      </w:r>
    </w:p>
  </w:endnote>
  <w:endnote w:id="22">
    <w:p w14:paraId="7426C91A" w14:textId="77777777" w:rsidR="0044246D" w:rsidRDefault="0044246D" w:rsidP="004726FD">
      <w:pPr>
        <w:pStyle w:val="ad"/>
        <w:ind w:firstLine="360"/>
      </w:pPr>
      <w:r>
        <w:rPr>
          <w:rStyle w:val="afd"/>
        </w:rPr>
        <w:endnoteRef/>
      </w:r>
      <w:r>
        <w:rPr>
          <w:rFonts w:hint="eastAsia"/>
        </w:rPr>
        <w:t xml:space="preserve"> 汉简“两行”之“行”在词义上指纵向的行，是2022年6月16日刘钊教授为西北师范大学做《汉简〈相剑刀〉补论》线上讲座后，由张俊民先生补充提示的，谨致谢忱。</w:t>
      </w:r>
    </w:p>
  </w:endnote>
  <w:endnote w:id="23">
    <w:p w14:paraId="0EFDD825" w14:textId="77777777" w:rsidR="0044246D" w:rsidRDefault="0044246D" w:rsidP="004726FD">
      <w:pPr>
        <w:pStyle w:val="ad"/>
        <w:ind w:firstLine="360"/>
        <w:rPr>
          <w:lang w:eastAsia="zh-TW"/>
        </w:rPr>
      </w:pPr>
      <w:r>
        <w:rPr>
          <w:rStyle w:val="afd"/>
        </w:rPr>
        <w:endnoteRef/>
      </w:r>
      <w:r>
        <w:rPr>
          <w:rFonts w:hint="eastAsia"/>
          <w:lang w:eastAsia="zh-TW"/>
        </w:rPr>
        <w:t xml:space="preserve"> </w:t>
      </w:r>
      <w:r>
        <w:rPr>
          <w:rFonts w:hint="eastAsia"/>
        </w:rPr>
        <w:t>采自国际敦煌项目网站，http://idp.bl.uk/database/oo_scroll_h.a4d?uid=1820120588;recnum=15498;index=1。</w:t>
      </w:r>
    </w:p>
  </w:endnote>
  <w:endnote w:id="24">
    <w:p w14:paraId="3B59B3EC" w14:textId="77777777" w:rsidR="0044246D" w:rsidRDefault="0044246D" w:rsidP="004726FD">
      <w:pPr>
        <w:pStyle w:val="ad"/>
        <w:ind w:firstLine="360"/>
      </w:pPr>
      <w:r>
        <w:rPr>
          <w:rStyle w:val="afd"/>
        </w:rPr>
        <w:endnoteRef/>
      </w:r>
      <w:r>
        <w:rPr>
          <w:rFonts w:hint="eastAsia"/>
        </w:rPr>
        <w:t xml:space="preserve"> 许维遹：《吕氏春秋集释》，第662页。</w:t>
      </w:r>
    </w:p>
  </w:endnote>
  <w:endnote w:id="25">
    <w:p w14:paraId="7B582C36" w14:textId="77777777" w:rsidR="0044246D" w:rsidRDefault="0044246D" w:rsidP="004726FD">
      <w:pPr>
        <w:pStyle w:val="ad"/>
        <w:ind w:firstLine="360"/>
      </w:pPr>
      <w:r>
        <w:rPr>
          <w:rStyle w:val="afd"/>
        </w:rPr>
        <w:endnoteRef/>
      </w:r>
      <w:r>
        <w:rPr>
          <w:rFonts w:hint="eastAsia"/>
        </w:rPr>
        <w:t xml:space="preserve"> 图见武汉博物馆编：《古镜涵容：武汉博物馆藏铜镜》，北京：文物出版社，2019年，第47页。</w:t>
      </w:r>
    </w:p>
  </w:endnote>
  <w:endnote w:id="26">
    <w:p w14:paraId="00A51EC3" w14:textId="77777777" w:rsidR="0044246D" w:rsidRDefault="0044246D" w:rsidP="004726FD">
      <w:pPr>
        <w:pStyle w:val="ad"/>
        <w:ind w:firstLine="360"/>
      </w:pPr>
      <w:r>
        <w:rPr>
          <w:rStyle w:val="afd"/>
        </w:rPr>
        <w:endnoteRef/>
      </w:r>
      <w:r>
        <w:rPr>
          <w:rFonts w:hint="eastAsia"/>
        </w:rPr>
        <w:t xml:space="preserve"> 图见湖北省博物馆、鄂州市博物馆编：《鄂城汉三国六朝铜镜》，北京：文物出版社，1986年，图97。图片不甚清晰，释文依鹏宇：《汉镜铭文汇释》3666号，昆明：云南人民出版社，2022年，第459页。</w:t>
      </w:r>
    </w:p>
  </w:endnote>
  <w:endnote w:id="27">
    <w:p w14:paraId="5999DE27" w14:textId="77777777" w:rsidR="0044246D" w:rsidRDefault="0044246D" w:rsidP="004726FD">
      <w:pPr>
        <w:pStyle w:val="ad"/>
        <w:ind w:firstLine="360"/>
      </w:pPr>
      <w:r>
        <w:rPr>
          <w:rStyle w:val="afd"/>
        </w:rPr>
        <w:endnoteRef/>
      </w:r>
      <w:r>
        <w:rPr>
          <w:rFonts w:hint="eastAsia"/>
        </w:rPr>
        <w:t xml:space="preserve"> 图见王纲怀编著：《中国纪年铜镜：两汉至六朝》，上海：上海古籍出版社，2015年，第43页。内铭“长宜官”原作“君宜官”，据鹏宇：《汉镜铭文汇释》0043号，第9页改。</w:t>
      </w:r>
    </w:p>
  </w:endnote>
  <w:endnote w:id="28">
    <w:p w14:paraId="7EEC6AA9" w14:textId="77777777" w:rsidR="0044246D" w:rsidRDefault="0044246D" w:rsidP="004726FD">
      <w:pPr>
        <w:pStyle w:val="ad"/>
        <w:ind w:firstLine="360"/>
      </w:pPr>
      <w:r>
        <w:rPr>
          <w:rStyle w:val="afd"/>
        </w:rPr>
        <w:endnoteRef/>
      </w:r>
      <w:r>
        <w:rPr>
          <w:rFonts w:hint="eastAsia"/>
        </w:rPr>
        <w:t xml:space="preserve"> 图见王纲怀编著：《中国纪年铜镜：两汉至六朝》，第20页。</w:t>
      </w:r>
    </w:p>
  </w:endnote>
  <w:endnote w:id="29">
    <w:p w14:paraId="4EC4E1A9" w14:textId="77777777" w:rsidR="0044246D" w:rsidRDefault="0044246D" w:rsidP="004726FD">
      <w:pPr>
        <w:pStyle w:val="ad"/>
        <w:ind w:firstLine="360"/>
      </w:pPr>
      <w:r>
        <w:rPr>
          <w:rStyle w:val="afd"/>
        </w:rPr>
        <w:endnoteRef/>
      </w:r>
      <w:r>
        <w:rPr>
          <w:rFonts w:hint="eastAsia"/>
        </w:rPr>
        <w:t xml:space="preserve"> 图见王纲怀编著：《汉镜铭文书法》，上海：中西书局，2016年，第148页。</w:t>
      </w:r>
    </w:p>
  </w:endnote>
  <w:endnote w:id="30">
    <w:p w14:paraId="7211EB6E" w14:textId="77777777" w:rsidR="0044246D" w:rsidRDefault="0044246D" w:rsidP="004726FD">
      <w:pPr>
        <w:pStyle w:val="ad"/>
        <w:ind w:firstLine="360"/>
      </w:pPr>
      <w:r>
        <w:rPr>
          <w:rStyle w:val="afd"/>
        </w:rPr>
        <w:endnoteRef/>
      </w:r>
      <w:r>
        <w:rPr>
          <w:rFonts w:hint="eastAsia"/>
        </w:rPr>
        <w:t xml:space="preserve"> 图见王纲怀编著：《汉镜铭文书法》，第186页，释文参鹏宇：《汉镜铭文汇释》2160号，第284页。“湅治”，《汇释》作“湅冶”，今仍依《书法》。</w:t>
      </w:r>
    </w:p>
  </w:endnote>
  <w:endnote w:id="31">
    <w:p w14:paraId="3481CF67" w14:textId="77777777" w:rsidR="0044246D" w:rsidRDefault="0044246D" w:rsidP="004726FD">
      <w:pPr>
        <w:pStyle w:val="ad"/>
        <w:ind w:firstLine="360"/>
      </w:pPr>
      <w:r>
        <w:rPr>
          <w:rStyle w:val="afd"/>
        </w:rPr>
        <w:endnoteRef/>
      </w:r>
      <w:r>
        <w:rPr>
          <w:rFonts w:hint="eastAsia"/>
        </w:rPr>
        <w:t xml:space="preserve"> 图见清华大学汉镜文化研究课题组：《汉镜文化研究》，北京：北京大学出版社，2014年，第330-331页。</w:t>
      </w:r>
    </w:p>
  </w:endnote>
  <w:endnote w:id="32">
    <w:p w14:paraId="72FE6062" w14:textId="77777777" w:rsidR="0044246D" w:rsidRDefault="0044246D" w:rsidP="004726FD">
      <w:pPr>
        <w:pStyle w:val="ad"/>
        <w:ind w:firstLine="360"/>
      </w:pPr>
      <w:r>
        <w:rPr>
          <w:rStyle w:val="afd"/>
        </w:rPr>
        <w:endnoteRef/>
      </w:r>
      <w:r>
        <w:rPr>
          <w:rFonts w:hint="eastAsia"/>
        </w:rPr>
        <w:t xml:space="preserve"> 孙诒让：《周礼正义》卷七十八，第3909页。</w:t>
      </w:r>
    </w:p>
  </w:endnote>
  <w:endnote w:id="33">
    <w:p w14:paraId="23C471C2" w14:textId="77777777" w:rsidR="0044246D" w:rsidRDefault="0044246D" w:rsidP="004726FD">
      <w:pPr>
        <w:pStyle w:val="ad"/>
        <w:ind w:firstLine="360"/>
      </w:pPr>
      <w:r>
        <w:rPr>
          <w:rStyle w:val="afd"/>
        </w:rPr>
        <w:endnoteRef/>
      </w:r>
      <w:r>
        <w:rPr>
          <w:rFonts w:hint="eastAsia"/>
        </w:rPr>
        <w:t xml:space="preserve"> 谭德睿、廉海萍：《东周青铜复合剑及菱形纹饰剑技术初探》，见王振华：《古越阁藏铜兵萃珍·铜剑篇》，台北：古越阁，1998年，第210页表1。</w:t>
      </w:r>
    </w:p>
  </w:endnote>
  <w:endnote w:id="34">
    <w:p w14:paraId="424CF784" w14:textId="77777777" w:rsidR="0044246D" w:rsidRDefault="0044246D" w:rsidP="004726FD">
      <w:pPr>
        <w:pStyle w:val="ad"/>
        <w:ind w:firstLine="360"/>
      </w:pPr>
      <w:r>
        <w:rPr>
          <w:rStyle w:val="afd"/>
        </w:rPr>
        <w:endnoteRef/>
      </w:r>
      <w:r>
        <w:rPr>
          <w:rFonts w:hint="eastAsia"/>
        </w:rPr>
        <w:t xml:space="preserve"> 图二采自何堂坤：《中国古代金属冶炼和加工工程技术史》，太原：山西教育出版社，2009年，彩版壹。</w:t>
      </w:r>
    </w:p>
  </w:endnote>
  <w:endnote w:id="35">
    <w:p w14:paraId="1DC06D34" w14:textId="77777777" w:rsidR="0044246D" w:rsidRDefault="0044246D" w:rsidP="004726FD">
      <w:pPr>
        <w:pStyle w:val="ad"/>
        <w:ind w:firstLine="360"/>
      </w:pPr>
      <w:r>
        <w:rPr>
          <w:rStyle w:val="afd"/>
        </w:rPr>
        <w:endnoteRef/>
      </w:r>
      <w:r>
        <w:rPr>
          <w:rFonts w:hint="eastAsia"/>
        </w:rPr>
        <w:t xml:space="preserve"> 阮元：《十三经注疏（清嘉庆刊本）·礼记正义》，第3200页。</w:t>
      </w:r>
    </w:p>
  </w:endnote>
  <w:endnote w:id="36">
    <w:p w14:paraId="7A2A2D18" w14:textId="77777777" w:rsidR="0044246D" w:rsidRDefault="0044246D" w:rsidP="004726FD">
      <w:pPr>
        <w:pStyle w:val="ad"/>
        <w:ind w:firstLine="360"/>
      </w:pPr>
      <w:r>
        <w:rPr>
          <w:rStyle w:val="afd"/>
        </w:rPr>
        <w:endnoteRef/>
      </w:r>
      <w:r>
        <w:rPr>
          <w:rFonts w:hint="eastAsia"/>
        </w:rPr>
        <w:t xml:space="preserve"> 范晔：《后汉书》卷七十九《儒林列传》，第2589页。</w:t>
      </w:r>
    </w:p>
  </w:endnote>
  <w:endnote w:id="37">
    <w:p w14:paraId="3F10DD51" w14:textId="77777777" w:rsidR="0044246D" w:rsidRDefault="0044246D" w:rsidP="004726FD">
      <w:pPr>
        <w:pStyle w:val="ad"/>
        <w:ind w:firstLine="360"/>
      </w:pPr>
      <w:r>
        <w:rPr>
          <w:rStyle w:val="afd"/>
        </w:rPr>
        <w:endnoteRef/>
      </w:r>
      <w:r>
        <w:rPr>
          <w:rFonts w:hint="eastAsia"/>
        </w:rPr>
        <w:t xml:space="preserve"> 王念孙：《广雅疏证》，上海：上海古籍出版社，2016年，第325页。</w:t>
      </w:r>
    </w:p>
  </w:endnote>
  <w:endnote w:id="38">
    <w:p w14:paraId="05073FFA" w14:textId="77777777" w:rsidR="0044246D" w:rsidRDefault="0044246D" w:rsidP="004726FD">
      <w:pPr>
        <w:pStyle w:val="ad"/>
        <w:ind w:firstLine="360"/>
      </w:pPr>
      <w:r>
        <w:rPr>
          <w:rStyle w:val="afd"/>
        </w:rPr>
        <w:endnoteRef/>
      </w:r>
      <w:r>
        <w:rPr>
          <w:rFonts w:hint="eastAsia"/>
        </w:rPr>
        <w:t xml:space="preserve"> 阮元：《十三经注疏（清嘉庆刊本）·礼记正义》，第2776页。</w:t>
      </w:r>
    </w:p>
  </w:endnote>
  <w:endnote w:id="39">
    <w:p w14:paraId="022DFB3E" w14:textId="77777777" w:rsidR="0044246D" w:rsidRDefault="0044246D" w:rsidP="004726FD">
      <w:pPr>
        <w:pStyle w:val="ad"/>
        <w:ind w:firstLine="360"/>
      </w:pPr>
      <w:r>
        <w:rPr>
          <w:rStyle w:val="afd"/>
        </w:rPr>
        <w:endnoteRef/>
      </w:r>
      <w:r>
        <w:rPr>
          <w:rFonts w:hint="eastAsia"/>
        </w:rPr>
        <w:t xml:space="preserve"> 赵振铎：《集韵校本》，上海：上海辞书出版社，2012年，第37页。</w:t>
      </w:r>
    </w:p>
  </w:endnote>
  <w:endnote w:id="40">
    <w:p w14:paraId="390C2D73" w14:textId="77777777" w:rsidR="0044246D" w:rsidRDefault="0044246D" w:rsidP="004726FD">
      <w:pPr>
        <w:pStyle w:val="ad"/>
        <w:ind w:firstLine="360"/>
      </w:pPr>
      <w:r>
        <w:rPr>
          <w:rStyle w:val="afd"/>
        </w:rPr>
        <w:endnoteRef/>
      </w:r>
      <w:r>
        <w:rPr>
          <w:rFonts w:hint="eastAsia"/>
        </w:rPr>
        <w:t xml:space="preserve"> “越王州句复合剑”简介，见王振华：《古越阁藏铜兵萃珍·铜剑篇》，第124页。</w:t>
      </w:r>
    </w:p>
  </w:endnote>
  <w:endnote w:id="41">
    <w:p w14:paraId="233869E6" w14:textId="77777777" w:rsidR="0044246D" w:rsidRDefault="0044246D" w:rsidP="004726FD">
      <w:pPr>
        <w:pStyle w:val="ad"/>
        <w:ind w:firstLine="360"/>
      </w:pPr>
      <w:r>
        <w:rPr>
          <w:rStyle w:val="afd"/>
        </w:rPr>
        <w:endnoteRef/>
      </w:r>
      <w:r>
        <w:rPr>
          <w:rFonts w:hint="eastAsia"/>
        </w:rPr>
        <w:t xml:space="preserve"> 图三、四为笔者自摄。</w:t>
      </w:r>
    </w:p>
  </w:endnote>
  <w:endnote w:id="42">
    <w:p w14:paraId="46437439" w14:textId="77777777" w:rsidR="0044246D" w:rsidRDefault="0044246D" w:rsidP="004726FD">
      <w:pPr>
        <w:pStyle w:val="ad"/>
        <w:ind w:firstLine="360"/>
      </w:pPr>
      <w:r>
        <w:rPr>
          <w:rStyle w:val="afd"/>
        </w:rPr>
        <w:endnoteRef/>
      </w:r>
      <w:r>
        <w:rPr>
          <w:rFonts w:hint="eastAsia"/>
        </w:rPr>
        <w:t xml:space="preserve"> 图五采自王振华：《古越阁藏铜兵萃珍·铜剑篇》，第129页。</w:t>
      </w:r>
    </w:p>
  </w:endnote>
  <w:endnote w:id="43">
    <w:p w14:paraId="24CE761E" w14:textId="77777777" w:rsidR="0044246D" w:rsidRDefault="0044246D" w:rsidP="004726FD">
      <w:pPr>
        <w:pStyle w:val="ad"/>
        <w:ind w:firstLine="360"/>
      </w:pPr>
      <w:r>
        <w:rPr>
          <w:rStyle w:val="afd"/>
        </w:rPr>
        <w:endnoteRef/>
      </w:r>
      <w:r>
        <w:rPr>
          <w:rFonts w:hint="eastAsia"/>
        </w:rPr>
        <w:t xml:space="preserve"> 谭德睿、廉海萍：《东周青铜复合剑及菱形纹饰剑技术初探》，见王振华：《古越阁藏铜兵萃珍·铜剑篇》，第204-206页。</w:t>
      </w:r>
    </w:p>
  </w:endnote>
  <w:endnote w:id="44">
    <w:p w14:paraId="1F961459" w14:textId="77777777" w:rsidR="0044246D" w:rsidRDefault="0044246D" w:rsidP="004726FD">
      <w:pPr>
        <w:pStyle w:val="ad"/>
        <w:ind w:firstLine="360"/>
      </w:pPr>
      <w:r>
        <w:rPr>
          <w:rStyle w:val="afd"/>
        </w:rPr>
        <w:endnoteRef/>
      </w:r>
      <w:r>
        <w:rPr>
          <w:rFonts w:hint="eastAsia"/>
        </w:rPr>
        <w:t xml:space="preserve"> 周生春：《吴越春秋辑校汇考》，北京：中华书局，2019年，第33页。</w:t>
      </w:r>
    </w:p>
  </w:endnote>
  <w:endnote w:id="45">
    <w:p w14:paraId="5B975DB1" w14:textId="77777777" w:rsidR="0044246D" w:rsidRDefault="0044246D" w:rsidP="004726FD">
      <w:pPr>
        <w:pStyle w:val="ad"/>
        <w:ind w:firstLine="360"/>
      </w:pPr>
      <w:r>
        <w:rPr>
          <w:rStyle w:val="afd"/>
        </w:rPr>
        <w:endnoteRef/>
      </w:r>
      <w:r>
        <w:rPr>
          <w:rFonts w:hint="eastAsia"/>
        </w:rPr>
        <w:t xml:space="preserve"> 李步嘉：《越絶书校释》，北京：中华书局，2013年，第301页。</w:t>
      </w:r>
    </w:p>
  </w:endnote>
  <w:endnote w:id="46">
    <w:p w14:paraId="58F23474" w14:textId="77777777" w:rsidR="0044246D" w:rsidRDefault="0044246D" w:rsidP="004726FD">
      <w:pPr>
        <w:pStyle w:val="ad"/>
        <w:ind w:firstLine="360"/>
      </w:pPr>
      <w:r>
        <w:rPr>
          <w:rStyle w:val="afd"/>
        </w:rPr>
        <w:endnoteRef/>
      </w:r>
      <w:r>
        <w:rPr>
          <w:rFonts w:hint="eastAsia"/>
        </w:rPr>
        <w:t xml:space="preserve"> 黄晖：《论衡校释（下）》，第980页。</w:t>
      </w:r>
    </w:p>
  </w:endnote>
  <w:endnote w:id="47">
    <w:p w14:paraId="5ED32838" w14:textId="77777777" w:rsidR="0044246D" w:rsidRDefault="0044246D" w:rsidP="004726FD">
      <w:pPr>
        <w:pStyle w:val="ad"/>
        <w:ind w:firstLine="360"/>
      </w:pPr>
      <w:r>
        <w:rPr>
          <w:rStyle w:val="afd"/>
        </w:rPr>
        <w:endnoteRef/>
      </w:r>
      <w:r>
        <w:rPr>
          <w:rFonts w:hint="eastAsia"/>
        </w:rPr>
        <w:t xml:space="preserve"> 范宁：《博物志校证》，北京：中华书局，2014年，第86页。其中“竟宁”原作“景宁”，“山都”原作“阳郡”，据校勘记改。</w:t>
      </w:r>
    </w:p>
  </w:endnote>
  <w:endnote w:id="48">
    <w:p w14:paraId="65BAE3A1" w14:textId="77777777" w:rsidR="0044246D" w:rsidRDefault="0044246D" w:rsidP="004726FD">
      <w:pPr>
        <w:pStyle w:val="ad"/>
        <w:ind w:firstLine="360"/>
      </w:pPr>
      <w:r>
        <w:rPr>
          <w:rStyle w:val="afd"/>
        </w:rPr>
        <w:endnoteRef/>
      </w:r>
      <w:r>
        <w:rPr>
          <w:rFonts w:hint="eastAsia"/>
        </w:rPr>
        <w:t xml:space="preserve"> 大川俊隆：《汉简中有方、剑、刀下的“生”字》，见长沙市文物考古研究所编：《长沙三国吴简暨百年来简帛发现与研究国际学术研讨会论文集》，北京：中华书局，2005年，第342-349页。</w:t>
      </w:r>
    </w:p>
  </w:endnote>
  <w:endnote w:id="49">
    <w:p w14:paraId="4DBB77EC" w14:textId="77777777" w:rsidR="0044246D" w:rsidRDefault="0044246D" w:rsidP="004726FD">
      <w:pPr>
        <w:pStyle w:val="ad"/>
        <w:ind w:firstLine="360"/>
      </w:pPr>
      <w:r>
        <w:rPr>
          <w:rStyle w:val="afd"/>
        </w:rPr>
        <w:endnoteRef/>
      </w:r>
      <w:r>
        <w:rPr>
          <w:rFonts w:hint="eastAsia"/>
        </w:rPr>
        <w:t xml:space="preserve"> 石声汉：《齐民要术今释》，北京：中华书局，2009年，第739页。</w:t>
      </w:r>
    </w:p>
  </w:endnote>
  <w:endnote w:id="50">
    <w:p w14:paraId="2BF469CF" w14:textId="77777777" w:rsidR="0044246D" w:rsidRDefault="0044246D" w:rsidP="004726FD">
      <w:pPr>
        <w:pStyle w:val="ad"/>
        <w:ind w:firstLine="360"/>
      </w:pPr>
      <w:r>
        <w:rPr>
          <w:rStyle w:val="afd"/>
        </w:rPr>
        <w:endnoteRef/>
      </w:r>
      <w:r>
        <w:rPr>
          <w:rFonts w:hint="eastAsia"/>
        </w:rPr>
        <w:t xml:space="preserve"> 皮日休、陆龟蒙等撰，王锡九校注：《松陵集校注》，北京：中华书局，2018年，第315页。</w:t>
      </w:r>
    </w:p>
  </w:endnote>
  <w:endnote w:id="51">
    <w:p w14:paraId="5A8BF234" w14:textId="77777777" w:rsidR="0044246D" w:rsidRDefault="0044246D" w:rsidP="004726FD">
      <w:pPr>
        <w:pStyle w:val="ad"/>
        <w:ind w:firstLine="360"/>
      </w:pPr>
      <w:r>
        <w:rPr>
          <w:rStyle w:val="afd"/>
        </w:rPr>
        <w:endnoteRef/>
      </w:r>
      <w:r>
        <w:rPr>
          <w:rFonts w:hint="eastAsia"/>
        </w:rPr>
        <w:t xml:space="preserve"> </w:t>
      </w:r>
      <w:r>
        <w:rPr>
          <w:rStyle w:val="affff4"/>
        </w:rPr>
        <w:t>汉语大词</w:t>
      </w:r>
      <w:r>
        <w:rPr>
          <w:rFonts w:hint="eastAsia"/>
        </w:rPr>
        <w:t>典编辑委员会、汉语大词典编纂处编纂，罗竹风主编：《汉语大词典》（第十一卷），上海：汉语大词典出版社，1993年，第1232页</w:t>
      </w:r>
      <w:r>
        <w:rPr>
          <w:rStyle w:val="affff4"/>
        </w:rPr>
        <w:t>。</w:t>
      </w:r>
    </w:p>
  </w:endnote>
  <w:endnote w:id="52">
    <w:p w14:paraId="45D7A416" w14:textId="77777777" w:rsidR="0044246D" w:rsidRDefault="0044246D" w:rsidP="004726FD">
      <w:pPr>
        <w:pStyle w:val="ad"/>
        <w:ind w:firstLine="360"/>
      </w:pPr>
      <w:r>
        <w:rPr>
          <w:rStyle w:val="afd"/>
        </w:rPr>
        <w:endnoteRef/>
      </w:r>
      <w:r>
        <w:rPr>
          <w:rFonts w:hint="eastAsia"/>
        </w:rPr>
        <w:t xml:space="preserve"> 赵振铎：《集韵校本》，第492页。</w:t>
      </w:r>
    </w:p>
  </w:endnote>
  <w:endnote w:id="53">
    <w:p w14:paraId="7CBEA8BF" w14:textId="77777777" w:rsidR="0044246D" w:rsidRDefault="0044246D" w:rsidP="004726FD">
      <w:pPr>
        <w:pStyle w:val="ad"/>
        <w:ind w:firstLine="360"/>
      </w:pPr>
      <w:r>
        <w:rPr>
          <w:rStyle w:val="afd"/>
        </w:rPr>
        <w:endnoteRef/>
      </w:r>
      <w:r>
        <w:rPr>
          <w:rFonts w:hint="eastAsia"/>
        </w:rPr>
        <w:t xml:space="preserve"> 李昉等编：《文苑英华》卷三百四十七，北京：中华书局，1966年影印本，第1787页。</w:t>
      </w:r>
    </w:p>
  </w:endnote>
  <w:endnote w:id="54">
    <w:p w14:paraId="395C8F8A" w14:textId="77777777" w:rsidR="0044246D" w:rsidRDefault="0044246D" w:rsidP="004726FD">
      <w:pPr>
        <w:pStyle w:val="ad"/>
        <w:ind w:firstLine="360"/>
      </w:pPr>
      <w:r>
        <w:rPr>
          <w:rStyle w:val="afd"/>
        </w:rPr>
        <w:endnoteRef/>
      </w:r>
      <w:r>
        <w:rPr>
          <w:rFonts w:hint="eastAsia"/>
        </w:rPr>
        <w:t xml:space="preserve"> 胡敕瑞：《〈说文〉校订二则》，《古汉语研究》2021年第4期。</w:t>
      </w:r>
    </w:p>
  </w:endnote>
  <w:endnote w:id="55">
    <w:p w14:paraId="2EFB6731" w14:textId="77777777" w:rsidR="0044246D" w:rsidRDefault="0044246D" w:rsidP="004726FD">
      <w:pPr>
        <w:pStyle w:val="ad"/>
        <w:ind w:firstLine="360"/>
      </w:pPr>
      <w:r>
        <w:rPr>
          <w:rStyle w:val="afd"/>
        </w:rPr>
        <w:endnoteRef/>
      </w:r>
      <w:r>
        <w:rPr>
          <w:rFonts w:hint="eastAsia"/>
        </w:rPr>
        <w:t xml:space="preserve"> 陈剑：《以银雀山汉简为例谈谈竹书整理的一些问题》，未刊稿，转引自胡敕瑞《〈说文〉校订二则》。</w:t>
      </w:r>
    </w:p>
  </w:endnote>
  <w:endnote w:id="56">
    <w:p w14:paraId="7DB29644" w14:textId="77777777" w:rsidR="0044246D" w:rsidRDefault="0044246D" w:rsidP="004726FD">
      <w:pPr>
        <w:pStyle w:val="ad"/>
        <w:ind w:firstLine="360"/>
      </w:pPr>
      <w:r>
        <w:rPr>
          <w:rStyle w:val="afd"/>
        </w:rPr>
        <w:endnoteRef/>
      </w:r>
      <w:r>
        <w:rPr>
          <w:rFonts w:hint="eastAsia"/>
        </w:rPr>
        <w:t xml:space="preserve"> 殷寄明：《汉语同源词大典》第二卷，上海：复旦大学出版社，2018年，第327页。</w:t>
      </w:r>
    </w:p>
  </w:endnote>
  <w:endnote w:id="57">
    <w:p w14:paraId="473BBC3E" w14:textId="77777777" w:rsidR="0044246D" w:rsidRDefault="0044246D" w:rsidP="004726FD">
      <w:pPr>
        <w:pStyle w:val="ad"/>
        <w:ind w:firstLine="360"/>
      </w:pPr>
      <w:r>
        <w:rPr>
          <w:rStyle w:val="afd"/>
        </w:rPr>
        <w:endnoteRef/>
      </w:r>
      <w:r>
        <w:rPr>
          <w:rFonts w:hint="eastAsia"/>
        </w:rPr>
        <w:t xml:space="preserve"> 商志</w:t>
      </w:r>
      <w:r>
        <w:rPr>
          <w:rFonts w:ascii="SimSun-ExtB" w:eastAsia="SimSun-ExtB" w:hAnsi="SimSun-ExtB" w:cs="SimSun-ExtB" w:hint="eastAsia"/>
        </w:rPr>
        <w:t>𩡝</w:t>
      </w:r>
      <w:r>
        <w:rPr>
          <w:rFonts w:hint="eastAsia"/>
        </w:rPr>
        <w:t>：《苏南地区青铜器合金成分的特色及相关问题》，见肖梦龙、刘伟编：《吴国青铜器综合研究》，北京：科学出版社，2004年，第279-288页。</w:t>
      </w:r>
    </w:p>
  </w:endnote>
  <w:endnote w:id="58">
    <w:p w14:paraId="59B17502" w14:textId="77777777" w:rsidR="0044246D" w:rsidRDefault="0044246D" w:rsidP="004726FD">
      <w:pPr>
        <w:pStyle w:val="ad"/>
        <w:ind w:firstLine="360"/>
      </w:pPr>
      <w:r>
        <w:rPr>
          <w:rStyle w:val="afd"/>
        </w:rPr>
        <w:endnoteRef/>
      </w:r>
      <w:r>
        <w:rPr>
          <w:rFonts w:hint="eastAsia"/>
        </w:rPr>
        <w:t xml:space="preserve"> 王振华：《古越阁藏商周青铜兵器》第103号，台北：古越阁，1993年，第276-277页，图六来源同。</w:t>
      </w:r>
    </w:p>
  </w:endnote>
  <w:endnote w:id="59">
    <w:p w14:paraId="07E2A971" w14:textId="77777777" w:rsidR="0044246D" w:rsidRDefault="0044246D" w:rsidP="004726FD">
      <w:pPr>
        <w:pStyle w:val="ad"/>
        <w:ind w:firstLine="360"/>
      </w:pPr>
      <w:r>
        <w:rPr>
          <w:rStyle w:val="afd"/>
        </w:rPr>
        <w:endnoteRef/>
      </w:r>
      <w:r>
        <w:rPr>
          <w:rFonts w:hint="eastAsia"/>
        </w:rPr>
        <w:t xml:space="preserve"> 班固：《汉书</w:t>
      </w:r>
      <w:r>
        <w:rPr>
          <w:rFonts w:ascii="等线" w:eastAsia="等线" w:hAnsi="等线" w:hint="eastAsia"/>
        </w:rPr>
        <w:t>》</w:t>
      </w:r>
      <w:r>
        <w:rPr>
          <w:rFonts w:hint="eastAsia"/>
        </w:rPr>
        <w:t>卷一上《高帝纪上》，北京：中华书局，1962年标点本，第6页。</w:t>
      </w:r>
    </w:p>
  </w:endnote>
  <w:endnote w:id="60">
    <w:p w14:paraId="1D8B141E" w14:textId="77777777" w:rsidR="0044246D" w:rsidRDefault="0044246D" w:rsidP="004726FD">
      <w:pPr>
        <w:pStyle w:val="ad"/>
        <w:ind w:firstLine="360"/>
      </w:pPr>
      <w:r>
        <w:rPr>
          <w:rStyle w:val="afd"/>
        </w:rPr>
        <w:endnoteRef/>
      </w:r>
      <w:r>
        <w:rPr>
          <w:rFonts w:hint="eastAsia"/>
        </w:rPr>
        <w:t xml:space="preserve"> 司马迁：《史记》卷八《高祖本纪》，第437页。</w:t>
      </w:r>
    </w:p>
  </w:endnote>
  <w:endnote w:id="61">
    <w:p w14:paraId="7B8F81FC" w14:textId="77777777" w:rsidR="0044246D" w:rsidRDefault="0044246D" w:rsidP="004726FD">
      <w:pPr>
        <w:pStyle w:val="ad"/>
        <w:ind w:firstLine="360"/>
      </w:pPr>
      <w:r>
        <w:rPr>
          <w:rStyle w:val="afd"/>
        </w:rPr>
        <w:endnoteRef/>
      </w:r>
      <w:r>
        <w:rPr>
          <w:rFonts w:hint="eastAsia"/>
        </w:rPr>
        <w:t xml:space="preserve"> 湖南省博物馆、复旦大学出土文献与古文字研究中心编纂，裘锡圭主编：《长沙马王堆汉墓简帛集成（伍）》，北京：中华书局，2014年，第199页。</w:t>
      </w:r>
    </w:p>
  </w:endnote>
  <w:endnote w:id="62">
    <w:p w14:paraId="4B7A9E80" w14:textId="77777777" w:rsidR="0044246D" w:rsidRDefault="0044246D" w:rsidP="004726FD">
      <w:pPr>
        <w:pStyle w:val="ad"/>
        <w:ind w:firstLine="360"/>
      </w:pPr>
      <w:r>
        <w:rPr>
          <w:rStyle w:val="afd"/>
        </w:rPr>
        <w:endnoteRef/>
      </w:r>
      <w:r>
        <w:rPr>
          <w:rFonts w:hint="eastAsia"/>
        </w:rPr>
        <w:t xml:space="preserve"> 张家山二四七号汉墓竹简整理小组编著：《张家山汉墓竹简〔二四七号墓〕（释文修订本）》，北京：文物出版社，2006年，第119页。</w:t>
      </w:r>
    </w:p>
  </w:endnote>
  <w:endnote w:id="63">
    <w:p w14:paraId="3A1F7B61" w14:textId="77777777" w:rsidR="0044246D" w:rsidRDefault="0044246D" w:rsidP="004726FD">
      <w:pPr>
        <w:pStyle w:val="ad"/>
        <w:ind w:firstLine="360"/>
        <w:rPr>
          <w:rFonts w:eastAsia="PMingLiU"/>
        </w:rPr>
      </w:pPr>
      <w:r>
        <w:rPr>
          <w:rStyle w:val="afd"/>
        </w:rPr>
        <w:endnoteRef/>
      </w:r>
      <w:r>
        <w:rPr>
          <w:rFonts w:hint="eastAsia"/>
        </w:rPr>
        <w:t xml:space="preserve"> 参看刘钊：《关于〈孟子〉一处词语训释和理解的辨正》，见华学诚主编：《文献语言学》第十二辑，北京：中华书局，2021年，第3-12页。</w:t>
      </w:r>
    </w:p>
  </w:endnote>
  <w:endnote w:id="64">
    <w:p w14:paraId="64CCFAC6" w14:textId="77777777" w:rsidR="0044246D" w:rsidRDefault="0044246D" w:rsidP="004726FD">
      <w:pPr>
        <w:pStyle w:val="ad"/>
        <w:ind w:firstLine="360"/>
      </w:pPr>
      <w:r>
        <w:rPr>
          <w:rStyle w:val="afd"/>
        </w:rPr>
        <w:endnoteRef/>
      </w:r>
      <w:r>
        <w:rPr>
          <w:rFonts w:hint="eastAsia"/>
        </w:rPr>
        <w:t xml:space="preserve"> 荆门市博物馆编：《郭店楚墓竹简》，北京：文物出版社，1998年，第167页。</w:t>
      </w:r>
    </w:p>
  </w:endnote>
  <w:endnote w:id="65">
    <w:p w14:paraId="26BD6329" w14:textId="77777777" w:rsidR="0044246D" w:rsidRDefault="0044246D" w:rsidP="004726FD">
      <w:pPr>
        <w:pStyle w:val="ad"/>
        <w:ind w:firstLine="360"/>
      </w:pPr>
      <w:r>
        <w:rPr>
          <w:rStyle w:val="afd"/>
        </w:rPr>
        <w:endnoteRef/>
      </w:r>
      <w:r>
        <w:rPr>
          <w:rFonts w:hint="eastAsia"/>
        </w:rPr>
        <w:t xml:space="preserve"> 李学勤主编：《清华大学藏战国竹简（伍）》，上海：中西书局，2015年，第125页。</w:t>
      </w:r>
    </w:p>
  </w:endnote>
  <w:endnote w:id="66">
    <w:p w14:paraId="4A91DE95" w14:textId="77777777" w:rsidR="0044246D" w:rsidRDefault="0044246D" w:rsidP="004726FD">
      <w:pPr>
        <w:pStyle w:val="ad"/>
        <w:ind w:firstLine="360"/>
      </w:pPr>
      <w:r>
        <w:rPr>
          <w:rStyle w:val="afd"/>
        </w:rPr>
        <w:endnoteRef/>
      </w:r>
      <w:r>
        <w:rPr>
          <w:rFonts w:hint="eastAsia"/>
        </w:rPr>
        <w:t xml:space="preserve"> 荆门市博物馆编：《郭店楚墓竹简》，第217页。</w:t>
      </w:r>
    </w:p>
  </w:endnote>
  <w:endnote w:id="67">
    <w:p w14:paraId="5914C6EE" w14:textId="77777777" w:rsidR="0044246D" w:rsidRDefault="0044246D" w:rsidP="004726FD">
      <w:pPr>
        <w:pStyle w:val="ad"/>
        <w:ind w:firstLine="360"/>
      </w:pPr>
      <w:r>
        <w:rPr>
          <w:rStyle w:val="afd"/>
        </w:rPr>
        <w:endnoteRef/>
      </w:r>
      <w:r>
        <w:rPr>
          <w:rFonts w:hint="eastAsia"/>
        </w:rPr>
        <w:t xml:space="preserve"> 司马迁：《史记》卷七十五《孟尝君列传》，第2857页。</w:t>
      </w:r>
    </w:p>
  </w:endnote>
  <w:endnote w:id="68">
    <w:p w14:paraId="0D207946" w14:textId="77777777" w:rsidR="0044246D" w:rsidRDefault="0044246D" w:rsidP="004726FD">
      <w:pPr>
        <w:pStyle w:val="ad"/>
        <w:ind w:firstLine="360"/>
      </w:pPr>
      <w:r>
        <w:rPr>
          <w:rStyle w:val="afd"/>
        </w:rPr>
        <w:endnoteRef/>
      </w:r>
      <w:r>
        <w:rPr>
          <w:rFonts w:hint="eastAsia"/>
        </w:rPr>
        <w:t xml:space="preserve"> 班固：《汉书》卷四十九《爰盎鼌错传》，第2278页。</w:t>
      </w:r>
    </w:p>
  </w:endnote>
  <w:endnote w:id="69">
    <w:p w14:paraId="31D9199E" w14:textId="77777777" w:rsidR="0044246D" w:rsidRDefault="0044246D" w:rsidP="004726FD">
      <w:pPr>
        <w:pStyle w:val="ad"/>
        <w:ind w:firstLine="360"/>
      </w:pPr>
      <w:r>
        <w:rPr>
          <w:rStyle w:val="afd"/>
        </w:rPr>
        <w:endnoteRef/>
      </w:r>
      <w:r>
        <w:rPr>
          <w:rFonts w:hint="eastAsia"/>
        </w:rPr>
        <w:t xml:space="preserve"> 罗振玉：《增订殷虚书契考释》，《罗雪堂先生全集三编》（二），台湾：大通书局，1989年影印本，第498-499页。</w:t>
      </w:r>
    </w:p>
  </w:endnote>
  <w:endnote w:id="70">
    <w:p w14:paraId="70B89C29" w14:textId="77777777" w:rsidR="0044246D" w:rsidRDefault="0044246D" w:rsidP="004726FD">
      <w:pPr>
        <w:pStyle w:val="ad"/>
        <w:ind w:firstLine="360"/>
      </w:pPr>
      <w:r>
        <w:rPr>
          <w:rStyle w:val="afd"/>
        </w:rPr>
        <w:endnoteRef/>
      </w:r>
      <w:r>
        <w:rPr>
          <w:rFonts w:hint="eastAsia"/>
        </w:rPr>
        <w:t xml:space="preserve"> 顾野王：《大广益会玉篇》，北京：中华书局标点本，2019年，第920页。</w:t>
      </w:r>
    </w:p>
  </w:endnote>
  <w:endnote w:id="71">
    <w:p w14:paraId="754BC1F5" w14:textId="77777777" w:rsidR="0044246D" w:rsidRDefault="0044246D" w:rsidP="004726FD">
      <w:pPr>
        <w:pStyle w:val="ad"/>
        <w:ind w:firstLine="360"/>
      </w:pPr>
      <w:r>
        <w:rPr>
          <w:rStyle w:val="afd"/>
        </w:rPr>
        <w:endnoteRef/>
      </w:r>
      <w:r>
        <w:rPr>
          <w:rFonts w:hint="eastAsia"/>
        </w:rPr>
        <w:t xml:space="preserve"> 《说文》“觲”字段注曰：“《小雅》‘骍骍角弓’，毛曰：‘骍骍，调利也。’按毛意谓角弓张弛便易，许意谓兽之举角高下驯扰，毛说正许说之引伸也。”见段玉裁：《说文解字注》，北京：中华书局，2013年影印本，第187页。</w:t>
      </w:r>
    </w:p>
  </w:endnote>
  <w:endnote w:id="72">
    <w:p w14:paraId="765CD7F3" w14:textId="77777777" w:rsidR="0044246D" w:rsidRDefault="0044246D" w:rsidP="004726FD">
      <w:pPr>
        <w:pStyle w:val="ad"/>
        <w:ind w:firstLine="360"/>
      </w:pPr>
      <w:r>
        <w:rPr>
          <w:rStyle w:val="afd"/>
        </w:rPr>
        <w:endnoteRef/>
      </w:r>
      <w:r>
        <w:rPr>
          <w:rFonts w:hint="eastAsia"/>
        </w:rPr>
        <w:t xml:space="preserve"> 商承祚：《殷虚文字类编》卷十，见本书编委会编：《甲骨文研究资料汇编》第十三册，北京：北京图书馆出版社，2008年影印本，第279页。</w:t>
      </w:r>
    </w:p>
  </w:endnote>
  <w:endnote w:id="73">
    <w:p w14:paraId="62D58088" w14:textId="77777777" w:rsidR="0044246D" w:rsidRDefault="0044246D" w:rsidP="004726FD">
      <w:pPr>
        <w:pStyle w:val="ad"/>
        <w:ind w:firstLine="360"/>
      </w:pPr>
      <w:r>
        <w:rPr>
          <w:rStyle w:val="afd"/>
        </w:rPr>
        <w:endnoteRef/>
      </w:r>
      <w:r>
        <w:rPr>
          <w:rFonts w:hint="eastAsia"/>
        </w:rPr>
        <w:t xml:space="preserve"> 王念孙：《广雅疏证》，北京：中华书局，2019年标点本，第648页。</w:t>
      </w:r>
    </w:p>
  </w:endnote>
  <w:endnote w:id="74">
    <w:p w14:paraId="33B0D9F8" w14:textId="77777777" w:rsidR="0044246D" w:rsidRDefault="0044246D" w:rsidP="004726FD">
      <w:pPr>
        <w:pStyle w:val="ad"/>
        <w:ind w:firstLine="360"/>
      </w:pPr>
      <w:r>
        <w:rPr>
          <w:rStyle w:val="afd"/>
        </w:rPr>
        <w:endnoteRef/>
      </w:r>
      <w:r>
        <w:rPr>
          <w:rFonts w:hint="eastAsia"/>
        </w:rPr>
        <w:t xml:space="preserve"> 顾野王：《大广益会玉篇》，第807页。</w:t>
      </w:r>
    </w:p>
  </w:endnote>
  <w:endnote w:id="75">
    <w:p w14:paraId="22A6BC89" w14:textId="77777777" w:rsidR="0044246D" w:rsidRDefault="0044246D" w:rsidP="004726FD">
      <w:pPr>
        <w:pStyle w:val="ad"/>
        <w:ind w:firstLine="360"/>
      </w:pPr>
      <w:r>
        <w:rPr>
          <w:rStyle w:val="afd"/>
        </w:rPr>
        <w:endnoteRef/>
      </w:r>
      <w:r>
        <w:rPr>
          <w:rFonts w:hint="eastAsia"/>
        </w:rPr>
        <w:t xml:space="preserve"> 张政烺著，朱凤瀚等整理：《张政烺批注两周金文辞大系考释》中册，北京：中华书局，2011年，第349页。</w:t>
      </w:r>
    </w:p>
  </w:endnote>
  <w:endnote w:id="76">
    <w:p w14:paraId="719BAB82" w14:textId="77777777" w:rsidR="0044246D" w:rsidRDefault="0044246D" w:rsidP="004726FD">
      <w:pPr>
        <w:pStyle w:val="ad"/>
        <w:ind w:firstLine="360"/>
      </w:pPr>
      <w:r>
        <w:rPr>
          <w:rStyle w:val="afd"/>
        </w:rPr>
        <w:endnoteRef/>
      </w:r>
      <w:r>
        <w:rPr>
          <w:rFonts w:hint="eastAsia"/>
        </w:rPr>
        <w:t xml:space="preserve"> 朱凤瀚：《古代中国青铜器》，天津：南开大学出版社，1994年，第3页。</w:t>
      </w:r>
    </w:p>
  </w:endnote>
  <w:endnote w:id="77">
    <w:p w14:paraId="7C0F8EF6" w14:textId="77777777" w:rsidR="0044246D" w:rsidRDefault="0044246D" w:rsidP="004726FD">
      <w:pPr>
        <w:pStyle w:val="ad"/>
        <w:ind w:firstLine="360"/>
      </w:pPr>
      <w:r>
        <w:rPr>
          <w:rStyle w:val="afd"/>
        </w:rPr>
        <w:endnoteRef/>
      </w:r>
      <w:r>
        <w:rPr>
          <w:rFonts w:hint="eastAsia"/>
        </w:rPr>
        <w:t xml:space="preserve"> 吴来明：《“六齐”、商周青铜器化学成分及其演变的研究》，《文物》1986年第11期。</w:t>
      </w:r>
    </w:p>
  </w:endnote>
  <w:endnote w:id="78">
    <w:p w14:paraId="7BEC7391" w14:textId="77777777" w:rsidR="0044246D" w:rsidRDefault="0044246D" w:rsidP="004726FD">
      <w:pPr>
        <w:pStyle w:val="ad"/>
        <w:ind w:firstLine="360"/>
        <w:rPr>
          <w:rFonts w:eastAsia="PMingLiU"/>
        </w:rPr>
      </w:pPr>
      <w:r>
        <w:rPr>
          <w:rStyle w:val="afd"/>
        </w:rPr>
        <w:endnoteRef/>
      </w:r>
      <w:r>
        <w:rPr>
          <w:rFonts w:hint="eastAsia"/>
        </w:rPr>
        <w:t xml:space="preserve"> 王明：《抱朴子内篇校释》，北京：中华书局，1985年，第269-270页。其中“三千岁”原作“三岁”，检校勘记云：“‘三岁蟾蜍喉下有八字者</w:t>
      </w:r>
      <w:r>
        <w:rPr>
          <w:rStyle w:val="affff4"/>
        </w:rPr>
        <w:t>血’，</w:t>
      </w:r>
      <w:r>
        <w:rPr>
          <w:rFonts w:hint="eastAsia"/>
        </w:rPr>
        <w:t>孙校：‘三’下刻本有‘千’字。（王）明案：慎校本、宝颜堂本有‘千’。”（《抱朴子内篇校释》第279页）又《抱朴子·对俗》</w:t>
      </w:r>
      <w:r>
        <w:rPr>
          <w:rStyle w:val="affff4"/>
        </w:rPr>
        <w:t>篇曰：“蟾蜍寿三千岁。”故</w:t>
      </w:r>
      <w:r>
        <w:rPr>
          <w:rFonts w:hint="eastAsia"/>
        </w:rPr>
        <w:t>据补“千”字。</w:t>
      </w:r>
    </w:p>
  </w:endnote>
  <w:endnote w:id="79">
    <w:p w14:paraId="391A79C9" w14:textId="77777777" w:rsidR="0044246D" w:rsidRDefault="0044246D" w:rsidP="004726FD">
      <w:pPr>
        <w:pStyle w:val="ad"/>
        <w:ind w:firstLine="360"/>
      </w:pPr>
      <w:r>
        <w:rPr>
          <w:rStyle w:val="afd"/>
        </w:rPr>
        <w:endnoteRef/>
      </w:r>
      <w:r>
        <w:rPr>
          <w:rFonts w:hint="eastAsia"/>
        </w:rPr>
        <w:t xml:space="preserve"> 王明：《抱朴子内篇校释》，第201页。</w:t>
      </w:r>
    </w:p>
  </w:endnote>
  <w:endnote w:id="80">
    <w:p w14:paraId="47BEF474" w14:textId="77777777" w:rsidR="0044246D" w:rsidRDefault="0044246D" w:rsidP="004726FD">
      <w:pPr>
        <w:pStyle w:val="ad"/>
        <w:ind w:firstLine="360"/>
      </w:pPr>
      <w:r>
        <w:rPr>
          <w:rStyle w:val="afd"/>
        </w:rPr>
        <w:endnoteRef/>
      </w:r>
      <w:r>
        <w:rPr>
          <w:rFonts w:hint="eastAsia"/>
        </w:rPr>
        <w:t xml:space="preserve"> 黄晖：《论衡校释（上）》，第88-89页。</w:t>
      </w:r>
    </w:p>
  </w:endnote>
  <w:endnote w:id="81">
    <w:p w14:paraId="03B4D738" w14:textId="77777777" w:rsidR="0044246D" w:rsidRDefault="0044246D" w:rsidP="004726FD">
      <w:pPr>
        <w:pStyle w:val="ad"/>
        <w:ind w:firstLine="360"/>
      </w:pPr>
      <w:r>
        <w:rPr>
          <w:rStyle w:val="afd"/>
        </w:rPr>
        <w:endnoteRef/>
      </w:r>
      <w:r>
        <w:rPr>
          <w:rFonts w:hint="eastAsia"/>
        </w:rPr>
        <w:t xml:space="preserve"> 王纲怀编著：《三槐堂藏镜》，北京：文物出版社，2004年，第140-141页，释文依鹏宇：《汉镜铭文汇释》，第456页。</w:t>
      </w:r>
    </w:p>
  </w:endnote>
  <w:endnote w:id="82">
    <w:p w14:paraId="4BB120FC" w14:textId="77777777" w:rsidR="0044246D" w:rsidRDefault="0044246D" w:rsidP="004726FD">
      <w:pPr>
        <w:pStyle w:val="ad"/>
        <w:ind w:firstLine="360"/>
      </w:pPr>
      <w:r>
        <w:rPr>
          <w:rStyle w:val="afd"/>
        </w:rPr>
        <w:endnoteRef/>
      </w:r>
      <w:r>
        <w:rPr>
          <w:rFonts w:hint="eastAsia"/>
        </w:rPr>
        <w:t xml:space="preserve"> 王趁意：《湖北鄂城市发现一面嘉兴元年铭神兽镜》，《考古》1999年第11期。</w:t>
      </w:r>
    </w:p>
  </w:endnote>
  <w:endnote w:id="83">
    <w:p w14:paraId="654B52BD" w14:textId="77777777" w:rsidR="0044246D" w:rsidRDefault="0044246D" w:rsidP="004726FD">
      <w:pPr>
        <w:pStyle w:val="ad"/>
        <w:ind w:firstLine="360"/>
      </w:pPr>
      <w:r>
        <w:rPr>
          <w:rStyle w:val="afd"/>
        </w:rPr>
        <w:endnoteRef/>
      </w:r>
      <w:r>
        <w:rPr>
          <w:rFonts w:hint="eastAsia"/>
        </w:rPr>
        <w:t xml:space="preserve"> 王纲怀编著：《中国纪年铜镜：两汉至六朝》，第18-19页。</w:t>
      </w:r>
    </w:p>
  </w:endnote>
  <w:endnote w:id="84">
    <w:p w14:paraId="15B20BC8" w14:textId="77777777" w:rsidR="0044246D" w:rsidRDefault="0044246D" w:rsidP="004726FD">
      <w:pPr>
        <w:pStyle w:val="ad"/>
        <w:ind w:firstLine="360"/>
      </w:pPr>
      <w:r>
        <w:rPr>
          <w:rStyle w:val="afd"/>
        </w:rPr>
        <w:endnoteRef/>
      </w:r>
      <w:r>
        <w:rPr>
          <w:rFonts w:hint="eastAsia"/>
        </w:rPr>
        <w:t xml:space="preserve"> 王纲怀编著：《中国纪年铜镜：两汉至六朝》，第18-19页。</w:t>
      </w:r>
    </w:p>
  </w:endnote>
  <w:endnote w:id="85">
    <w:p w14:paraId="6A7AB971" w14:textId="77777777" w:rsidR="0044246D" w:rsidRDefault="0044246D" w:rsidP="004726FD">
      <w:pPr>
        <w:pStyle w:val="ad"/>
        <w:ind w:firstLine="360"/>
      </w:pPr>
      <w:r>
        <w:rPr>
          <w:rStyle w:val="afd"/>
        </w:rPr>
        <w:endnoteRef/>
      </w:r>
      <w:r>
        <w:rPr>
          <w:rFonts w:hint="eastAsia"/>
        </w:rPr>
        <w:t xml:space="preserve"> 段玉裁：《说文解字注》，第747页。</w:t>
      </w:r>
    </w:p>
  </w:endnote>
  <w:endnote w:id="86">
    <w:p w14:paraId="01291054" w14:textId="77777777" w:rsidR="0044246D" w:rsidRDefault="0044246D" w:rsidP="004726FD">
      <w:pPr>
        <w:pStyle w:val="ad"/>
        <w:ind w:firstLine="360"/>
      </w:pPr>
      <w:r>
        <w:rPr>
          <w:rStyle w:val="afd"/>
        </w:rPr>
        <w:endnoteRef/>
      </w:r>
      <w:r>
        <w:rPr>
          <w:rFonts w:hint="eastAsia"/>
        </w:rPr>
        <w:t xml:space="preserve"> 阮元：《十三经注疏（清嘉庆刊本）·春秋左传正义》，第4527页。</w:t>
      </w:r>
    </w:p>
  </w:endnote>
  <w:endnote w:id="87">
    <w:p w14:paraId="1F6405B0" w14:textId="77777777" w:rsidR="0044246D" w:rsidRDefault="0044246D" w:rsidP="004726FD">
      <w:pPr>
        <w:pStyle w:val="ad"/>
        <w:ind w:firstLine="360"/>
      </w:pPr>
      <w:r>
        <w:rPr>
          <w:rStyle w:val="afd"/>
        </w:rPr>
        <w:endnoteRef/>
      </w:r>
      <w:r>
        <w:rPr>
          <w:rFonts w:hint="eastAsia"/>
        </w:rPr>
        <w:t xml:space="preserve"> 许维遹：《吕氏春秋集释》，第145页。</w:t>
      </w:r>
    </w:p>
  </w:endnote>
  <w:endnote w:id="88">
    <w:p w14:paraId="5B3AF9FE" w14:textId="77777777" w:rsidR="0044246D" w:rsidRDefault="0044246D" w:rsidP="004726FD">
      <w:pPr>
        <w:pStyle w:val="ad"/>
        <w:ind w:firstLine="360"/>
      </w:pPr>
      <w:r>
        <w:rPr>
          <w:rStyle w:val="afd"/>
        </w:rPr>
        <w:endnoteRef/>
      </w:r>
      <w:r>
        <w:rPr>
          <w:rFonts w:hint="eastAsia"/>
        </w:rPr>
        <w:t xml:space="preserve"> 谭德睿、廉海萍：《东周青铜复合剑及菱形纹饰剑技术初探》，见王振华：《古越阁藏铜兵萃珍·铜剑篇》，第205页。图七采自同书第208页。</w:t>
      </w:r>
    </w:p>
  </w:endnote>
  <w:endnote w:id="89">
    <w:p w14:paraId="00956E71" w14:textId="77777777" w:rsidR="0044246D" w:rsidRDefault="0044246D" w:rsidP="004726FD">
      <w:pPr>
        <w:pStyle w:val="ad"/>
        <w:ind w:firstLine="360"/>
      </w:pPr>
      <w:r>
        <w:rPr>
          <w:rStyle w:val="afd"/>
        </w:rPr>
        <w:endnoteRef/>
      </w:r>
      <w:r>
        <w:rPr>
          <w:rFonts w:hint="eastAsia"/>
        </w:rPr>
        <w:t xml:space="preserve"> 刘文典：《淮南鸿烈集解》，北京：中华书局，2013年，第655页。</w:t>
      </w:r>
    </w:p>
  </w:endnote>
  <w:endnote w:id="90">
    <w:p w14:paraId="7FBA82B8" w14:textId="77777777" w:rsidR="0044246D" w:rsidRDefault="0044246D" w:rsidP="004726FD">
      <w:pPr>
        <w:pStyle w:val="ad"/>
        <w:ind w:firstLine="360"/>
      </w:pPr>
      <w:r>
        <w:rPr>
          <w:rStyle w:val="afd"/>
        </w:rPr>
        <w:endnoteRef/>
      </w:r>
      <w:r>
        <w:rPr>
          <w:rFonts w:hint="eastAsia"/>
        </w:rPr>
        <w:t xml:space="preserve"> 司马迁：《史记》卷七十七《魏公子列传》，第2877页。</w:t>
      </w:r>
    </w:p>
  </w:endnote>
  <w:endnote w:id="91">
    <w:p w14:paraId="3135CA5A" w14:textId="77777777" w:rsidR="0044246D" w:rsidRDefault="0044246D" w:rsidP="004726FD">
      <w:pPr>
        <w:pStyle w:val="ad"/>
        <w:ind w:firstLine="360"/>
      </w:pPr>
      <w:r>
        <w:rPr>
          <w:rStyle w:val="afd"/>
        </w:rPr>
        <w:endnoteRef/>
      </w:r>
      <w:r>
        <w:rPr>
          <w:rFonts w:hint="eastAsia"/>
        </w:rPr>
        <w:t xml:space="preserve"> 谭德睿、廉海萍、吴则嘉等：《东周铜兵器菱形纹饰技术研究》，《考古学报》2000年第1期。</w:t>
      </w:r>
    </w:p>
  </w:endnote>
  <w:endnote w:id="92">
    <w:p w14:paraId="77A0A74C" w14:textId="77777777" w:rsidR="0044246D" w:rsidRDefault="0044246D" w:rsidP="004726FD">
      <w:pPr>
        <w:pStyle w:val="ad"/>
        <w:ind w:firstLine="360"/>
      </w:pPr>
      <w:r>
        <w:rPr>
          <w:rStyle w:val="afd"/>
        </w:rPr>
        <w:endnoteRef/>
      </w:r>
      <w:r>
        <w:rPr>
          <w:rFonts w:hint="eastAsia"/>
        </w:rPr>
        <w:t xml:space="preserve"> 廉海萍：《东周铜兵器菱形纹饰技术研究》，《中国文化遗产》2004年第3期。</w:t>
      </w:r>
    </w:p>
  </w:endnote>
  <w:endnote w:id="93">
    <w:p w14:paraId="693F0F2F" w14:textId="77777777" w:rsidR="0044246D" w:rsidRDefault="0044246D" w:rsidP="004726FD">
      <w:pPr>
        <w:pStyle w:val="ad"/>
        <w:ind w:firstLine="360"/>
      </w:pPr>
      <w:r>
        <w:rPr>
          <w:rStyle w:val="afd"/>
        </w:rPr>
        <w:endnoteRef/>
      </w:r>
      <w:r>
        <w:rPr>
          <w:rFonts w:hint="eastAsia"/>
        </w:rPr>
        <w:t xml:space="preserve"> 万俐：《江苏六合程桥东周菱形纹青铜剑的修复》，《文物保护与考古科学》2006年第18卷第3期。</w:t>
      </w:r>
    </w:p>
  </w:endnote>
  <w:endnote w:id="94">
    <w:p w14:paraId="33367297" w14:textId="77777777" w:rsidR="0044246D" w:rsidRDefault="0044246D" w:rsidP="004726FD">
      <w:pPr>
        <w:pStyle w:val="ad"/>
        <w:ind w:firstLine="360"/>
      </w:pPr>
      <w:r>
        <w:rPr>
          <w:rStyle w:val="afd"/>
        </w:rPr>
        <w:endnoteRef/>
      </w:r>
      <w:r>
        <w:rPr>
          <w:rFonts w:hint="eastAsia"/>
        </w:rPr>
        <w:t xml:space="preserve"> 图八采自刘彦主编：《中国出土青铜器全集13·湖北（下）》，北京：科学出版社、北京：龙门书局，第672页。</w:t>
      </w:r>
    </w:p>
  </w:endnote>
  <w:endnote w:id="95">
    <w:p w14:paraId="4AD6CFA4" w14:textId="77777777" w:rsidR="0044246D" w:rsidRDefault="0044246D" w:rsidP="004726FD">
      <w:pPr>
        <w:pStyle w:val="ad"/>
        <w:ind w:firstLine="360"/>
      </w:pPr>
      <w:r>
        <w:rPr>
          <w:rStyle w:val="afd"/>
        </w:rPr>
        <w:endnoteRef/>
      </w:r>
      <w:r>
        <w:rPr>
          <w:rFonts w:hint="eastAsia"/>
        </w:rPr>
        <w:t xml:space="preserve"> 苏州博物馆编著：《吴钩重辉：苏州博物馆新入藏青铜兵器》，北京：文物出版社，2014年，第86页。图九采自同书第87页。</w:t>
      </w:r>
    </w:p>
  </w:endnote>
  <w:endnote w:id="96">
    <w:p w14:paraId="2DE896AE" w14:textId="77777777" w:rsidR="0044246D" w:rsidRDefault="0044246D" w:rsidP="004726FD">
      <w:pPr>
        <w:pStyle w:val="ad"/>
        <w:ind w:firstLine="360"/>
      </w:pPr>
      <w:r>
        <w:rPr>
          <w:rStyle w:val="afd"/>
        </w:rPr>
        <w:endnoteRef/>
      </w:r>
      <w:r>
        <w:rPr>
          <w:rFonts w:hint="eastAsia"/>
        </w:rPr>
        <w:t xml:space="preserve"> 湖南省博物馆、复旦大学出土文献与古文字研究中心编纂、裘锡圭主编：《长沙马王堆汉墓简帛集成》（叁），第24页。</w:t>
      </w:r>
    </w:p>
  </w:endnote>
  <w:endnote w:id="97">
    <w:p w14:paraId="4EE94B5B" w14:textId="77777777" w:rsidR="0044246D" w:rsidRDefault="0044246D" w:rsidP="004726FD">
      <w:pPr>
        <w:pStyle w:val="ad"/>
        <w:ind w:firstLine="360"/>
      </w:pPr>
      <w:r>
        <w:rPr>
          <w:rStyle w:val="afd"/>
        </w:rPr>
        <w:endnoteRef/>
      </w:r>
      <w:r>
        <w:rPr>
          <w:rFonts w:hint="eastAsia"/>
        </w:rPr>
        <w:t xml:space="preserve"> 湖南省博物馆、复旦大学出土文献与古文字研究中心编纂、裘锡圭主编：《长沙马王堆汉墓简帛集成》（肆），第143页。</w:t>
      </w:r>
    </w:p>
  </w:endnote>
  <w:endnote w:id="98">
    <w:p w14:paraId="66FCBA19" w14:textId="77777777" w:rsidR="0044246D" w:rsidRDefault="0044246D" w:rsidP="004726FD">
      <w:pPr>
        <w:pStyle w:val="ad"/>
        <w:ind w:firstLine="360"/>
      </w:pPr>
      <w:r>
        <w:rPr>
          <w:rStyle w:val="afd"/>
        </w:rPr>
        <w:endnoteRef/>
      </w:r>
      <w:r>
        <w:rPr>
          <w:rFonts w:hint="eastAsia"/>
        </w:rPr>
        <w:t xml:space="preserve"> 银雀山汉墓竹简整理小组编：《银雀山汉墓竹简〔壹〕》，北京：文物出版社，1985年，第114-115页。</w:t>
      </w:r>
    </w:p>
  </w:endnote>
  <w:endnote w:id="99">
    <w:p w14:paraId="087C3B56" w14:textId="77777777" w:rsidR="0044246D" w:rsidRDefault="0044246D" w:rsidP="004726FD">
      <w:pPr>
        <w:pStyle w:val="ad"/>
        <w:ind w:firstLine="360"/>
      </w:pPr>
      <w:r>
        <w:rPr>
          <w:rStyle w:val="afd"/>
        </w:rPr>
        <w:endnoteRef/>
      </w:r>
      <w:r>
        <w:rPr>
          <w:rFonts w:hint="eastAsia"/>
        </w:rPr>
        <w:t xml:space="preserve"> 银雀山汉墓竹简整理小组编：《银雀山汉墓竹简〔贰〕》，北京：文物出版社，2010年，第164页。</w:t>
      </w:r>
    </w:p>
  </w:endnote>
  <w:endnote w:id="100">
    <w:p w14:paraId="20FCF516" w14:textId="77777777" w:rsidR="0044246D" w:rsidRDefault="0044246D" w:rsidP="004726FD">
      <w:pPr>
        <w:pStyle w:val="ad"/>
        <w:ind w:firstLine="360"/>
      </w:pPr>
      <w:r>
        <w:rPr>
          <w:rStyle w:val="afd"/>
        </w:rPr>
        <w:endnoteRef/>
      </w:r>
      <w:r>
        <w:rPr>
          <w:rFonts w:hint="eastAsia"/>
        </w:rPr>
        <w:t xml:space="preserve"> </w:t>
      </w:r>
      <w:r>
        <w:rPr>
          <w:rFonts w:hint="eastAsia"/>
          <w:shd w:val="clear" w:color="auto" w:fill="FFFFFF"/>
        </w:rPr>
        <w:t>陈剑：《〈妄稽〉〈反淫〉校字拾遗》，2016年7月4日，http://www.fdgwz.org.cn/Web/Show/2850，2022年5月30日。</w:t>
      </w:r>
    </w:p>
  </w:endnote>
  <w:endnote w:id="101">
    <w:p w14:paraId="2353123A" w14:textId="77777777" w:rsidR="0044246D" w:rsidRDefault="0044246D" w:rsidP="004726FD">
      <w:pPr>
        <w:pStyle w:val="ad"/>
        <w:ind w:firstLine="360"/>
      </w:pPr>
      <w:r>
        <w:rPr>
          <w:rStyle w:val="afd"/>
        </w:rPr>
        <w:endnoteRef/>
      </w:r>
      <w:r>
        <w:rPr>
          <w:rFonts w:hint="eastAsia"/>
        </w:rPr>
        <w:t xml:space="preserve"> 北京大学出土文献研究所编：《北京大学藏西汉竹书〔叁〕》，上海：上海古籍出版社，2015年，第141页。</w:t>
      </w:r>
    </w:p>
  </w:endnote>
  <w:endnote w:id="102">
    <w:p w14:paraId="44EF0E9E" w14:textId="77777777" w:rsidR="0044246D" w:rsidRDefault="0044246D" w:rsidP="004726FD">
      <w:pPr>
        <w:pStyle w:val="ad"/>
        <w:ind w:firstLine="360"/>
      </w:pPr>
      <w:r>
        <w:rPr>
          <w:rStyle w:val="afd"/>
        </w:rPr>
        <w:endnoteRef/>
      </w:r>
      <w:r>
        <w:rPr>
          <w:rFonts w:hint="eastAsia"/>
        </w:rPr>
        <w:t xml:space="preserve"> 司马迁：《史记》卷三《殷本纪》，第135页。</w:t>
      </w:r>
    </w:p>
  </w:endnote>
  <w:endnote w:id="103">
    <w:p w14:paraId="22108B2F" w14:textId="77777777" w:rsidR="0044246D" w:rsidRDefault="0044246D" w:rsidP="004726FD">
      <w:pPr>
        <w:pStyle w:val="ad"/>
        <w:ind w:firstLine="360"/>
      </w:pPr>
      <w:r>
        <w:rPr>
          <w:rStyle w:val="afd"/>
        </w:rPr>
        <w:endnoteRef/>
      </w:r>
      <w:r>
        <w:rPr>
          <w:rFonts w:hint="eastAsia"/>
        </w:rPr>
        <w:t xml:space="preserve"> 焦延寿：《易林》，南京：凤凰出版社，2017年标点本，第316页。</w:t>
      </w:r>
    </w:p>
  </w:endnote>
  <w:endnote w:id="104">
    <w:p w14:paraId="6FB83DFF" w14:textId="77777777" w:rsidR="0044246D" w:rsidRDefault="0044246D" w:rsidP="004726FD">
      <w:pPr>
        <w:pStyle w:val="ad"/>
        <w:ind w:firstLine="360"/>
      </w:pPr>
      <w:r>
        <w:rPr>
          <w:rStyle w:val="afd"/>
        </w:rPr>
        <w:endnoteRef/>
      </w:r>
      <w:r>
        <w:rPr>
          <w:rFonts w:hint="eastAsia"/>
        </w:rPr>
        <w:t xml:space="preserve"> 李零：《孙子译注》，北京：中华书局，2009年，第87页。</w:t>
      </w:r>
    </w:p>
  </w:endnote>
  <w:endnote w:id="105">
    <w:p w14:paraId="0A2F5B1F" w14:textId="77777777" w:rsidR="0044246D" w:rsidRDefault="0044246D" w:rsidP="004726FD">
      <w:pPr>
        <w:pStyle w:val="ad"/>
        <w:ind w:firstLine="360"/>
      </w:pPr>
      <w:r>
        <w:rPr>
          <w:rStyle w:val="afd"/>
        </w:rPr>
        <w:endnoteRef/>
      </w:r>
      <w:r>
        <w:rPr>
          <w:rFonts w:hint="eastAsia"/>
        </w:rPr>
        <w:t xml:space="preserve"> 司马迁：《史记》卷八《高祖本纪》，第473页。</w:t>
      </w:r>
    </w:p>
  </w:endnote>
  <w:endnote w:id="106">
    <w:p w14:paraId="55C774ED" w14:textId="77777777" w:rsidR="0044246D" w:rsidRDefault="0044246D" w:rsidP="004726FD">
      <w:pPr>
        <w:pStyle w:val="ad"/>
        <w:ind w:firstLine="360"/>
      </w:pPr>
      <w:r>
        <w:rPr>
          <w:rStyle w:val="afd"/>
        </w:rPr>
        <w:endnoteRef/>
      </w:r>
      <w:r>
        <w:rPr>
          <w:rFonts w:hint="eastAsia"/>
        </w:rPr>
        <w:t xml:space="preserve"> 郝懿行：《尔雅义疏》，北京：中华书局，2017年标点本，第51页。</w:t>
      </w:r>
    </w:p>
  </w:endnote>
  <w:endnote w:id="107">
    <w:p w14:paraId="5FDD7892" w14:textId="77777777" w:rsidR="0044246D" w:rsidRDefault="0044246D" w:rsidP="004726FD">
      <w:pPr>
        <w:pStyle w:val="ad"/>
        <w:ind w:firstLine="360"/>
      </w:pPr>
      <w:r>
        <w:rPr>
          <w:rStyle w:val="afd"/>
        </w:rPr>
        <w:endnoteRef/>
      </w:r>
      <w:r>
        <w:rPr>
          <w:rFonts w:hint="eastAsia"/>
        </w:rPr>
        <w:t xml:space="preserve"> 李零：《孙子译注》，第95页。</w:t>
      </w:r>
    </w:p>
  </w:endnote>
  <w:endnote w:id="108">
    <w:p w14:paraId="4E675606" w14:textId="77777777" w:rsidR="0044246D" w:rsidRDefault="0044246D" w:rsidP="004726FD">
      <w:pPr>
        <w:pStyle w:val="ad"/>
        <w:ind w:firstLine="360"/>
      </w:pPr>
      <w:r>
        <w:rPr>
          <w:rStyle w:val="afd"/>
        </w:rPr>
        <w:endnoteRef/>
      </w:r>
      <w:r>
        <w:rPr>
          <w:rFonts w:hint="eastAsia"/>
        </w:rPr>
        <w:t xml:space="preserve"> 王引之：《经义述闻》，上海：上海古籍出版社，2018年标点本，第1569页。</w:t>
      </w:r>
    </w:p>
  </w:endnote>
  <w:endnote w:id="109">
    <w:p w14:paraId="6D5C0DFA" w14:textId="77777777" w:rsidR="0044246D" w:rsidRDefault="0044246D" w:rsidP="004726FD">
      <w:pPr>
        <w:pStyle w:val="ad"/>
        <w:ind w:firstLine="360"/>
      </w:pPr>
      <w:r>
        <w:rPr>
          <w:rStyle w:val="afd"/>
        </w:rPr>
        <w:endnoteRef/>
      </w:r>
      <w:r>
        <w:rPr>
          <w:rFonts w:hint="eastAsia"/>
        </w:rPr>
        <w:t xml:space="preserve"> 郭庆藩：《庄子集释》，北京：中华书局，2012年标点本，第646页。</w:t>
      </w:r>
    </w:p>
  </w:endnote>
  <w:endnote w:id="110">
    <w:p w14:paraId="7F911BF0" w14:textId="77777777" w:rsidR="0044246D" w:rsidRDefault="0044246D" w:rsidP="004726FD">
      <w:pPr>
        <w:pStyle w:val="ad"/>
        <w:ind w:firstLine="360"/>
      </w:pPr>
      <w:r>
        <w:rPr>
          <w:rStyle w:val="afd"/>
        </w:rPr>
        <w:endnoteRef/>
      </w:r>
      <w:r>
        <w:rPr>
          <w:rFonts w:hint="eastAsia"/>
        </w:rPr>
        <w:t xml:space="preserve"> 阮元：《十三经注疏（清嘉庆刊本）·礼记正义》，第2682页。</w:t>
      </w:r>
    </w:p>
  </w:endnote>
  <w:endnote w:id="111">
    <w:p w14:paraId="7CE9CA95" w14:textId="77777777" w:rsidR="0044246D" w:rsidRDefault="0044246D" w:rsidP="004726FD">
      <w:pPr>
        <w:pStyle w:val="ad"/>
        <w:ind w:firstLine="360"/>
      </w:pPr>
      <w:r>
        <w:rPr>
          <w:rStyle w:val="afd"/>
        </w:rPr>
        <w:endnoteRef/>
      </w:r>
      <w:r>
        <w:rPr>
          <w:rFonts w:hint="eastAsia"/>
        </w:rPr>
        <w:t xml:space="preserve"> 杨伯峻：《春秋左传注》，北京：中华书局，2016年，第574页。</w:t>
      </w:r>
    </w:p>
  </w:endnote>
  <w:endnote w:id="112">
    <w:p w14:paraId="300DB4D5" w14:textId="77777777" w:rsidR="0044246D" w:rsidRDefault="0044246D" w:rsidP="004726FD">
      <w:pPr>
        <w:pStyle w:val="ad"/>
        <w:ind w:firstLine="360"/>
      </w:pPr>
      <w:r>
        <w:rPr>
          <w:rStyle w:val="afd"/>
        </w:rPr>
        <w:endnoteRef/>
      </w:r>
      <w:r>
        <w:rPr>
          <w:rFonts w:hint="eastAsia"/>
        </w:rPr>
        <w:t xml:space="preserve"> 苏州博物馆编：《大邦之梦：吴越楚青铜器》，上海：上海古籍出版社，2017年，第21页。图十采自同书第20页。</w:t>
      </w:r>
    </w:p>
  </w:endnote>
  <w:endnote w:id="113">
    <w:p w14:paraId="18DF2F37" w14:textId="77777777" w:rsidR="0044246D" w:rsidRDefault="0044246D" w:rsidP="004726FD">
      <w:pPr>
        <w:pStyle w:val="ad"/>
        <w:ind w:firstLine="360"/>
      </w:pPr>
      <w:r>
        <w:rPr>
          <w:rStyle w:val="afd"/>
        </w:rPr>
        <w:endnoteRef/>
      </w:r>
      <w:r>
        <w:rPr>
          <w:rFonts w:hint="eastAsia"/>
        </w:rPr>
        <w:t xml:space="preserve"> 图十一采自王振华：《古越阁藏商周青铜兵器》，第247页。</w:t>
      </w:r>
    </w:p>
  </w:endnote>
  <w:endnote w:id="114">
    <w:p w14:paraId="452310AB" w14:textId="77777777" w:rsidR="0044246D" w:rsidRDefault="0044246D" w:rsidP="004726FD">
      <w:pPr>
        <w:pStyle w:val="ad"/>
        <w:ind w:firstLine="360"/>
      </w:pPr>
      <w:r>
        <w:rPr>
          <w:rStyle w:val="afd"/>
        </w:rPr>
        <w:endnoteRef/>
      </w:r>
      <w:r>
        <w:rPr>
          <w:rFonts w:hint="eastAsia"/>
        </w:rPr>
        <w:t xml:space="preserve"> 裘锡圭：《汉简零拾》，《裘锡圭学术文集·简牍帛书卷》，上海：复旦大学出版社，2012年，第82页。</w:t>
      </w:r>
    </w:p>
  </w:endnote>
  <w:endnote w:id="115">
    <w:p w14:paraId="6D435918" w14:textId="77777777" w:rsidR="0044246D" w:rsidRDefault="0044246D" w:rsidP="004726FD">
      <w:pPr>
        <w:pStyle w:val="ad"/>
        <w:ind w:firstLine="360"/>
      </w:pPr>
      <w:r>
        <w:rPr>
          <w:rStyle w:val="afd"/>
        </w:rPr>
        <w:endnoteRef/>
      </w:r>
      <w:r>
        <w:rPr>
          <w:rFonts w:hint="eastAsia"/>
        </w:rPr>
        <w:t xml:space="preserve"> 《居延新简集释》原释“堠”，今依李洪财所做“堠、</w:t>
      </w:r>
      <w:r>
        <w:rPr>
          <w:noProof/>
          <w:szCs w:val="24"/>
        </w:rPr>
        <w:drawing>
          <wp:inline distT="0" distB="0" distL="0" distR="0" wp14:anchorId="2258EB8C" wp14:editId="485120D1">
            <wp:extent cx="95250" cy="95250"/>
            <wp:effectExtent l="0" t="0" r="0" b="0"/>
            <wp:docPr id="6376359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hint="eastAsia"/>
        </w:rPr>
        <w:t>辨析”改。见李洪财：《汉代简牍草书整理与研究》，北京：中国社会科学出版社，2022年，第184页。</w:t>
      </w:r>
    </w:p>
  </w:endnote>
  <w:endnote w:id="116">
    <w:p w14:paraId="4BBDD9EA" w14:textId="77777777" w:rsidR="0044246D" w:rsidRDefault="0044246D" w:rsidP="004726FD">
      <w:pPr>
        <w:pStyle w:val="ad"/>
        <w:ind w:firstLine="360"/>
      </w:pPr>
      <w:r>
        <w:rPr>
          <w:rStyle w:val="afd"/>
        </w:rPr>
        <w:endnoteRef/>
      </w:r>
      <w:r>
        <w:rPr>
          <w:rFonts w:hint="eastAsia"/>
        </w:rPr>
        <w:t xml:space="preserve"> 《居延新简集释》原释“侯”，准“堠、</w:t>
      </w:r>
      <w:r>
        <w:rPr>
          <w:noProof/>
          <w:szCs w:val="24"/>
        </w:rPr>
        <w:drawing>
          <wp:inline distT="0" distB="0" distL="0" distR="0" wp14:anchorId="6B64CC49" wp14:editId="14FE0EF9">
            <wp:extent cx="95250" cy="95250"/>
            <wp:effectExtent l="0" t="0" r="0" b="0"/>
            <wp:docPr id="12473585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hint="eastAsia"/>
        </w:rPr>
        <w:t>”区分之例，根据右下点画多少的差别而定为“焦”。</w:t>
      </w:r>
    </w:p>
  </w:endnote>
  <w:endnote w:id="117">
    <w:p w14:paraId="4D5DCAF0" w14:textId="77777777" w:rsidR="0044246D" w:rsidRDefault="0044246D" w:rsidP="004726FD">
      <w:pPr>
        <w:pStyle w:val="ad"/>
        <w:ind w:firstLine="360"/>
      </w:pPr>
      <w:r>
        <w:rPr>
          <w:rStyle w:val="afd"/>
        </w:rPr>
        <w:endnoteRef/>
      </w:r>
      <w:r>
        <w:rPr>
          <w:rFonts w:hint="eastAsia"/>
        </w:rPr>
        <w:t xml:space="preserve"> 《居延汉简相剑刀册释读析疑》曾反思“</w:t>
      </w:r>
      <w:r>
        <w:rPr>
          <w:noProof/>
          <w:lang w:eastAsia="zh-TW"/>
        </w:rPr>
        <w:drawing>
          <wp:inline distT="0" distB="0" distL="0" distR="0" wp14:anchorId="71912312" wp14:editId="67FB67B7">
            <wp:extent cx="95250" cy="101600"/>
            <wp:effectExtent l="0" t="0" r="0" b="0"/>
            <wp:docPr id="8587635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101600"/>
                    </a:xfrm>
                    <a:prstGeom prst="rect">
                      <a:avLst/>
                    </a:prstGeom>
                    <a:noFill/>
                    <a:ln>
                      <a:noFill/>
                    </a:ln>
                  </pic:spPr>
                </pic:pic>
              </a:graphicData>
            </a:graphic>
          </wp:inline>
        </w:drawing>
      </w:r>
      <w:r>
        <w:rPr>
          <w:rFonts w:hint="eastAsia"/>
        </w:rPr>
        <w:t>”字不见于历代字书韵书，后在将此文收入文集时加了补按，谓银雀山汉简386简有</w:t>
      </w:r>
      <w:r>
        <w:rPr>
          <w:noProof/>
        </w:rPr>
        <w:drawing>
          <wp:inline distT="0" distB="0" distL="0" distR="0" wp14:anchorId="32C6D330" wp14:editId="10A0AE02">
            <wp:extent cx="196850" cy="196850"/>
            <wp:effectExtent l="0" t="0" r="0" b="0"/>
            <wp:docPr id="16574145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Pr>
          <w:rFonts w:hint="eastAsia"/>
        </w:rPr>
        <w:t>字，整理者释作“</w:t>
      </w:r>
      <w:r>
        <w:rPr>
          <w:noProof/>
          <w:lang w:eastAsia="zh-TW"/>
        </w:rPr>
        <w:drawing>
          <wp:inline distT="0" distB="0" distL="0" distR="0" wp14:anchorId="7F4046D5" wp14:editId="5FEA5DDA">
            <wp:extent cx="95250" cy="101600"/>
            <wp:effectExtent l="0" t="0" r="0" b="0"/>
            <wp:docPr id="7910786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101600"/>
                    </a:xfrm>
                    <a:prstGeom prst="rect">
                      <a:avLst/>
                    </a:prstGeom>
                    <a:noFill/>
                    <a:ln>
                      <a:noFill/>
                    </a:ln>
                  </pic:spPr>
                </pic:pic>
              </a:graphicData>
            </a:graphic>
          </wp:inline>
        </w:drawing>
      </w:r>
      <w:r>
        <w:rPr>
          <w:rFonts w:hint="eastAsia"/>
        </w:rPr>
        <w:t>”，可为释“鸣”添一证。我们认为即便如此，“鸣”写成“</w:t>
      </w:r>
      <w:r>
        <w:rPr>
          <w:noProof/>
          <w:lang w:eastAsia="zh-TW"/>
        </w:rPr>
        <w:drawing>
          <wp:inline distT="0" distB="0" distL="0" distR="0" wp14:anchorId="3D1F536E" wp14:editId="75D077A0">
            <wp:extent cx="95250" cy="101600"/>
            <wp:effectExtent l="0" t="0" r="0" b="0"/>
            <wp:docPr id="21245231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101600"/>
                    </a:xfrm>
                    <a:prstGeom prst="rect">
                      <a:avLst/>
                    </a:prstGeom>
                    <a:noFill/>
                    <a:ln>
                      <a:noFill/>
                    </a:ln>
                  </pic:spPr>
                </pic:pic>
              </a:graphicData>
            </a:graphic>
          </wp:inline>
        </w:drawing>
      </w:r>
      <w:r>
        <w:rPr>
          <w:rFonts w:hint="eastAsia"/>
        </w:rPr>
        <w:t>”依旧是十分偶然的。参见何茂活：《河西汉简考论——以肩水金关汉简为中心》，上海：中西书局，2021年，第88页。</w:t>
      </w:r>
    </w:p>
  </w:endnote>
  <w:endnote w:id="118">
    <w:p w14:paraId="223F265E" w14:textId="77777777" w:rsidR="0044246D" w:rsidRDefault="0044246D" w:rsidP="004726FD">
      <w:pPr>
        <w:pStyle w:val="ad"/>
        <w:ind w:firstLine="360"/>
      </w:pPr>
      <w:r>
        <w:rPr>
          <w:rStyle w:val="afd"/>
        </w:rPr>
        <w:endnoteRef/>
      </w:r>
      <w:r>
        <w:rPr>
          <w:rFonts w:hint="eastAsia"/>
        </w:rPr>
        <w:t xml:space="preserve"> 郭庆藩：《庄子集释》，第445页。</w:t>
      </w:r>
    </w:p>
  </w:endnote>
  <w:endnote w:id="119">
    <w:p w14:paraId="6BAF9B12" w14:textId="77777777" w:rsidR="0044246D" w:rsidRDefault="0044246D" w:rsidP="004726FD">
      <w:pPr>
        <w:pStyle w:val="ad"/>
        <w:ind w:firstLine="360"/>
      </w:pPr>
      <w:r>
        <w:rPr>
          <w:rStyle w:val="afd"/>
        </w:rPr>
        <w:endnoteRef/>
      </w:r>
      <w:r>
        <w:rPr>
          <w:rFonts w:hint="eastAsia"/>
        </w:rPr>
        <w:t xml:space="preserve"> 杨伯峻：《列子集释》，北京：中华书局，1979年，第39页。</w:t>
      </w:r>
    </w:p>
  </w:endnote>
  <w:endnote w:id="120">
    <w:p w14:paraId="4ADCE0D9" w14:textId="77777777" w:rsidR="0044246D" w:rsidRDefault="0044246D" w:rsidP="004726FD">
      <w:pPr>
        <w:pStyle w:val="ad"/>
        <w:ind w:firstLine="360"/>
      </w:pPr>
      <w:r>
        <w:rPr>
          <w:rStyle w:val="afd"/>
        </w:rPr>
        <w:endnoteRef/>
      </w:r>
      <w:r>
        <w:rPr>
          <w:rFonts w:hint="eastAsia"/>
        </w:rPr>
        <w:t xml:space="preserve"> 王先谦：《诗三家义集疏》，北京：中华书局，1987年标点本，第530页。</w:t>
      </w:r>
    </w:p>
  </w:endnote>
  <w:endnote w:id="121">
    <w:p w14:paraId="16AAC079" w14:textId="77777777" w:rsidR="0044246D" w:rsidRDefault="0044246D" w:rsidP="004726FD">
      <w:pPr>
        <w:pStyle w:val="ad"/>
        <w:ind w:firstLine="360"/>
      </w:pPr>
      <w:r>
        <w:rPr>
          <w:rStyle w:val="afd"/>
        </w:rPr>
        <w:endnoteRef/>
      </w:r>
      <w:r>
        <w:rPr>
          <w:rFonts w:hint="eastAsia"/>
        </w:rPr>
        <w:t xml:space="preserve"> 黄晖：《论衡校释（上）》，第266页。</w:t>
      </w:r>
    </w:p>
  </w:endnote>
  <w:endnote w:id="122">
    <w:p w14:paraId="2FA69B0E" w14:textId="77777777" w:rsidR="0044246D" w:rsidRDefault="0044246D" w:rsidP="004726FD">
      <w:pPr>
        <w:pStyle w:val="ad"/>
        <w:ind w:firstLine="360"/>
      </w:pPr>
      <w:r>
        <w:rPr>
          <w:rStyle w:val="afd"/>
        </w:rPr>
        <w:endnoteRef/>
      </w:r>
      <w:r>
        <w:rPr>
          <w:rFonts w:hint="eastAsia"/>
        </w:rPr>
        <w:t xml:space="preserve"> 汉语大字典编辑委员会编纂：《汉语大字典（第二版）》第一卷，武汉：崇文书局、成都：四川辞书出版社，2010年，第373页。</w:t>
      </w:r>
    </w:p>
  </w:endnote>
  <w:endnote w:id="123">
    <w:p w14:paraId="25972B4C" w14:textId="77777777" w:rsidR="0044246D" w:rsidRDefault="0044246D" w:rsidP="004726FD">
      <w:pPr>
        <w:pStyle w:val="ad"/>
        <w:ind w:firstLine="360"/>
      </w:pPr>
      <w:r>
        <w:rPr>
          <w:rStyle w:val="afd"/>
        </w:rPr>
        <w:endnoteRef/>
      </w:r>
      <w:r>
        <w:rPr>
          <w:rFonts w:hint="eastAsia"/>
        </w:rPr>
        <w:t xml:space="preserve"> 杨伯峻：《春秋左传注》，第1074页。</w:t>
      </w:r>
    </w:p>
  </w:endnote>
  <w:endnote w:id="124">
    <w:p w14:paraId="3364D9D4" w14:textId="77777777" w:rsidR="0044246D" w:rsidRDefault="0044246D" w:rsidP="004726FD">
      <w:pPr>
        <w:pStyle w:val="ad"/>
        <w:ind w:firstLine="360"/>
      </w:pPr>
      <w:r>
        <w:rPr>
          <w:rStyle w:val="afd"/>
        </w:rPr>
        <w:endnoteRef/>
      </w:r>
      <w:r>
        <w:rPr>
          <w:rFonts w:hint="eastAsia"/>
        </w:rPr>
        <w:t xml:space="preserve"> 湖南省博物馆、复旦大学出土文献与古文字研究中心编纂、裘锡圭主编：《长沙马王堆汉墓简帛集成》（叁），第143页。</w:t>
      </w:r>
    </w:p>
  </w:endnote>
  <w:endnote w:id="125">
    <w:p w14:paraId="3F055DFA" w14:textId="77777777" w:rsidR="0044246D" w:rsidRDefault="0044246D" w:rsidP="004726FD">
      <w:pPr>
        <w:pStyle w:val="ad"/>
        <w:ind w:firstLine="360"/>
      </w:pPr>
      <w:r>
        <w:rPr>
          <w:rStyle w:val="afd"/>
        </w:rPr>
        <w:endnoteRef/>
      </w:r>
      <w:r>
        <w:rPr>
          <w:rFonts w:hint="eastAsia"/>
        </w:rPr>
        <w:t xml:space="preserve"> 湖南省博物馆、复旦大学出土文献与古文字研究中心编纂、裘锡圭主编：《长沙马王堆汉墓简帛集成》（叁），第146页。</w:t>
      </w:r>
    </w:p>
  </w:endnote>
  <w:endnote w:id="126">
    <w:p w14:paraId="4BF30FFE" w14:textId="77777777" w:rsidR="0044246D" w:rsidRDefault="0044246D" w:rsidP="004726FD">
      <w:pPr>
        <w:pStyle w:val="ad"/>
        <w:ind w:firstLine="360"/>
      </w:pPr>
      <w:r>
        <w:rPr>
          <w:rStyle w:val="afd"/>
        </w:rPr>
        <w:endnoteRef/>
      </w:r>
      <w:r>
        <w:rPr>
          <w:rFonts w:hint="eastAsia"/>
        </w:rPr>
        <w:t xml:space="preserve"> 阮元：《十三经注疏（清嘉庆刊本）·周易正义》，第61页。</w:t>
      </w:r>
    </w:p>
  </w:endnote>
  <w:endnote w:id="127">
    <w:p w14:paraId="46B96AC0" w14:textId="77777777" w:rsidR="0044246D" w:rsidRDefault="0044246D" w:rsidP="004726FD">
      <w:pPr>
        <w:pStyle w:val="ad"/>
        <w:ind w:firstLine="360"/>
      </w:pPr>
      <w:r>
        <w:rPr>
          <w:rStyle w:val="afd"/>
        </w:rPr>
        <w:endnoteRef/>
      </w:r>
      <w:r>
        <w:rPr>
          <w:rFonts w:hint="eastAsia"/>
        </w:rPr>
        <w:t xml:space="preserve"> 阮元：《十三经注疏（清嘉庆刊本）·周易正义》，第79页。</w:t>
      </w:r>
    </w:p>
  </w:endnote>
  <w:endnote w:id="128">
    <w:p w14:paraId="52411BAB" w14:textId="77777777" w:rsidR="0044246D" w:rsidRDefault="0044246D" w:rsidP="004726FD">
      <w:pPr>
        <w:pStyle w:val="ad"/>
        <w:ind w:firstLine="360"/>
      </w:pPr>
      <w:r>
        <w:rPr>
          <w:rStyle w:val="afd"/>
        </w:rPr>
        <w:endnoteRef/>
      </w:r>
      <w:r>
        <w:rPr>
          <w:rFonts w:hint="eastAsia"/>
        </w:rPr>
        <w:t xml:space="preserve"> 刘文典：《淮南鸿烈集解》，第40页。</w:t>
      </w:r>
    </w:p>
  </w:endnote>
  <w:endnote w:id="129">
    <w:p w14:paraId="26CF59BF" w14:textId="77777777" w:rsidR="0044246D" w:rsidRDefault="0044246D" w:rsidP="004726FD">
      <w:pPr>
        <w:pStyle w:val="ad"/>
        <w:ind w:firstLine="360"/>
      </w:pPr>
      <w:r>
        <w:rPr>
          <w:rStyle w:val="afd"/>
        </w:rPr>
        <w:endnoteRef/>
      </w:r>
      <w:r>
        <w:rPr>
          <w:rFonts w:hint="eastAsia"/>
        </w:rPr>
        <w:t xml:space="preserve"> 刘文典：《淮南鸿烈集解》，第553页。</w:t>
      </w:r>
    </w:p>
  </w:endnote>
  <w:endnote w:id="130">
    <w:p w14:paraId="7BB2BA11" w14:textId="77777777" w:rsidR="0044246D" w:rsidRDefault="0044246D" w:rsidP="004726FD">
      <w:pPr>
        <w:pStyle w:val="ad"/>
        <w:ind w:firstLine="360"/>
      </w:pPr>
      <w:r>
        <w:rPr>
          <w:rStyle w:val="afd"/>
        </w:rPr>
        <w:endnoteRef/>
      </w:r>
      <w:r>
        <w:rPr>
          <w:rFonts w:hint="eastAsia"/>
        </w:rPr>
        <w:t xml:space="preserve"> 孙诒让：《墨子间诂》，北京：中华书局，2001年标点本，第237页。</w:t>
      </w:r>
    </w:p>
  </w:endnote>
  <w:endnote w:id="131">
    <w:p w14:paraId="12991B89" w14:textId="77777777" w:rsidR="0044246D" w:rsidRDefault="0044246D" w:rsidP="004726FD">
      <w:pPr>
        <w:pStyle w:val="ad"/>
        <w:ind w:firstLine="360"/>
      </w:pPr>
      <w:r>
        <w:rPr>
          <w:rStyle w:val="afd"/>
        </w:rPr>
        <w:endnoteRef/>
      </w:r>
      <w:r>
        <w:rPr>
          <w:rFonts w:hint="eastAsia"/>
        </w:rPr>
        <w:t xml:space="preserve"> 孙诒让：《墨子间诂》，第256页。</w:t>
      </w:r>
    </w:p>
  </w:endnote>
  <w:endnote w:id="132">
    <w:p w14:paraId="16C205E7" w14:textId="77777777" w:rsidR="0044246D" w:rsidRDefault="0044246D" w:rsidP="004726FD">
      <w:pPr>
        <w:pStyle w:val="ad"/>
        <w:ind w:firstLine="360"/>
      </w:pPr>
      <w:r>
        <w:rPr>
          <w:rStyle w:val="afd"/>
        </w:rPr>
        <w:endnoteRef/>
      </w:r>
      <w:r>
        <w:rPr>
          <w:rFonts w:hint="eastAsia"/>
        </w:rPr>
        <w:t xml:space="preserve"> 王聘珍：《大戴礼记解诂》，北京：中华书局，1983年标点本，第165页</w:t>
      </w:r>
      <w:r>
        <w:rPr>
          <w:rFonts w:ascii="等线" w:eastAsia="等线" w:hAnsi="等线" w:hint="eastAsia"/>
        </w:rPr>
        <w:t>。</w:t>
      </w:r>
    </w:p>
  </w:endnote>
  <w:endnote w:id="133">
    <w:p w14:paraId="2C692C10" w14:textId="77777777" w:rsidR="0044246D" w:rsidRDefault="0044246D" w:rsidP="004726FD">
      <w:pPr>
        <w:pStyle w:val="ad"/>
        <w:ind w:firstLine="360"/>
      </w:pPr>
      <w:r>
        <w:rPr>
          <w:rStyle w:val="afd"/>
        </w:rPr>
        <w:endnoteRef/>
      </w:r>
      <w:r>
        <w:rPr>
          <w:rFonts w:hint="eastAsia"/>
        </w:rPr>
        <w:t xml:space="preserve"> 孙诒让：《墨子间诂》，第256页。</w:t>
      </w:r>
    </w:p>
  </w:endnote>
  <w:endnote w:id="134">
    <w:p w14:paraId="59CC1DAE" w14:textId="77777777" w:rsidR="0044246D" w:rsidRDefault="0044246D" w:rsidP="004726FD">
      <w:pPr>
        <w:pStyle w:val="ad"/>
        <w:ind w:firstLine="360"/>
      </w:pPr>
      <w:r>
        <w:rPr>
          <w:rStyle w:val="afd"/>
        </w:rPr>
        <w:endnoteRef/>
      </w:r>
      <w:r>
        <w:rPr>
          <w:rFonts w:hint="eastAsia"/>
        </w:rPr>
        <w:t xml:space="preserve"> 马承源主编：《上海博物馆藏战国楚竹书（六）》，上海：上海古籍出版社，2007年，第109页。</w:t>
      </w:r>
    </w:p>
  </w:endnote>
  <w:endnote w:id="135">
    <w:p w14:paraId="069B7B13" w14:textId="77777777" w:rsidR="0044246D" w:rsidRDefault="0044246D" w:rsidP="004726FD">
      <w:pPr>
        <w:pStyle w:val="ad"/>
        <w:ind w:firstLine="360"/>
      </w:pPr>
      <w:r>
        <w:rPr>
          <w:rStyle w:val="afd"/>
        </w:rPr>
        <w:endnoteRef/>
      </w:r>
      <w:r>
        <w:rPr>
          <w:rFonts w:hint="eastAsia"/>
        </w:rPr>
        <w:t xml:space="preserve"> 湖南省博物馆、复旦大学出土文献与古文字研究中心编纂、裘锡圭主编：《长沙马王堆汉墓简帛集成》（叁），第41页。</w:t>
      </w:r>
    </w:p>
  </w:endnote>
  <w:endnote w:id="136">
    <w:p w14:paraId="15CD39BC" w14:textId="77777777" w:rsidR="0044246D" w:rsidRDefault="0044246D" w:rsidP="004726FD">
      <w:pPr>
        <w:pStyle w:val="ad"/>
        <w:ind w:firstLine="360"/>
      </w:pPr>
      <w:r>
        <w:rPr>
          <w:rStyle w:val="afd"/>
        </w:rPr>
        <w:endnoteRef/>
      </w:r>
      <w:r>
        <w:rPr>
          <w:rFonts w:hint="eastAsia"/>
        </w:rPr>
        <w:t xml:space="preserve"> 清华大学出土文献研究与保护中心编、黄德宽主编：《清华大学藏战国竹简（玖）》，上海：中西书局，2019年，第159页。</w:t>
      </w:r>
    </w:p>
  </w:endnote>
  <w:endnote w:id="137">
    <w:p w14:paraId="7D2C8CC0" w14:textId="77777777" w:rsidR="0044246D" w:rsidRDefault="0044246D" w:rsidP="004726FD">
      <w:pPr>
        <w:pStyle w:val="ad"/>
        <w:ind w:firstLine="360"/>
      </w:pPr>
      <w:r>
        <w:rPr>
          <w:rStyle w:val="afd"/>
        </w:rPr>
        <w:endnoteRef/>
      </w:r>
      <w:r>
        <w:rPr>
          <w:rFonts w:hint="eastAsia"/>
        </w:rPr>
        <w:t xml:space="preserve"> 郝懿行：《尔雅义疏》，第299页。</w:t>
      </w:r>
    </w:p>
  </w:endnote>
  <w:endnote w:id="138">
    <w:p w14:paraId="3120AF71" w14:textId="77777777" w:rsidR="0044246D" w:rsidRDefault="0044246D" w:rsidP="004726FD">
      <w:pPr>
        <w:pStyle w:val="ad"/>
        <w:ind w:firstLine="360"/>
      </w:pPr>
      <w:r>
        <w:rPr>
          <w:rStyle w:val="afd"/>
        </w:rPr>
        <w:endnoteRef/>
      </w:r>
      <w:r>
        <w:rPr>
          <w:rFonts w:hint="eastAsia"/>
        </w:rPr>
        <w:t xml:space="preserve"> 阮元：《十三经注疏（清嘉庆刊本）·毛诗正义》，第1064页。</w:t>
      </w:r>
    </w:p>
  </w:endnote>
  <w:endnote w:id="139">
    <w:p w14:paraId="4DF7481C" w14:textId="77777777" w:rsidR="0044246D" w:rsidRDefault="0044246D" w:rsidP="004726FD">
      <w:pPr>
        <w:pStyle w:val="ad"/>
        <w:ind w:firstLine="360"/>
        <w:rPr>
          <w:rFonts w:eastAsia="PMingLiU"/>
        </w:rPr>
      </w:pPr>
      <w:r>
        <w:rPr>
          <w:rStyle w:val="afd"/>
        </w:rPr>
        <w:endnoteRef/>
      </w:r>
      <w:r>
        <w:rPr>
          <w:rFonts w:hint="eastAsia"/>
        </w:rPr>
        <w:t xml:space="preserve"> 班固：《汉书</w:t>
      </w:r>
      <w:r>
        <w:rPr>
          <w:rFonts w:ascii="等线" w:eastAsia="等线" w:hAnsi="等线" w:hint="eastAsia"/>
        </w:rPr>
        <w:t>》</w:t>
      </w:r>
      <w:r>
        <w:rPr>
          <w:rFonts w:hint="eastAsia"/>
        </w:rPr>
        <w:t>卷三十《艺文志》，第1775页。原句读作“以立城郭室舍形”，今据姚明辉说改，彼云：“形，相之也。”见姚明辉：《汉书艺文志注解》卷六，上海：大中书局，1933年，第259页。又见李零：《兰台万卷》，北京：三联书店，2011年，第198页。</w:t>
      </w:r>
    </w:p>
  </w:endnote>
  <w:endnote w:id="140">
    <w:p w14:paraId="22962DA5" w14:textId="77777777" w:rsidR="0044246D" w:rsidRDefault="0044246D" w:rsidP="004726FD">
      <w:pPr>
        <w:pStyle w:val="ad"/>
        <w:ind w:firstLine="360"/>
      </w:pPr>
      <w:r>
        <w:rPr>
          <w:rStyle w:val="afd"/>
        </w:rPr>
        <w:endnoteRef/>
      </w:r>
      <w:r>
        <w:rPr>
          <w:rFonts w:hint="eastAsia"/>
        </w:rPr>
        <w:t xml:space="preserve"> 湖南省博物馆、复旦大学出土文献与古文字研究中心编纂、裘锡圭主编：《长沙马王堆汉墓简帛集成》（伍），第183页。</w:t>
      </w:r>
    </w:p>
  </w:endnote>
  <w:endnote w:id="141">
    <w:p w14:paraId="7661D3C0" w14:textId="77777777" w:rsidR="0044246D" w:rsidRDefault="0044246D" w:rsidP="004726FD">
      <w:pPr>
        <w:pStyle w:val="ad"/>
        <w:ind w:firstLine="360"/>
      </w:pPr>
      <w:r>
        <w:rPr>
          <w:rStyle w:val="afd"/>
        </w:rPr>
        <w:endnoteRef/>
      </w:r>
      <w:r>
        <w:rPr>
          <w:rFonts w:hint="eastAsia"/>
        </w:rPr>
        <w:t xml:space="preserve"> 姚振宗：《隋书经籍志考证》（第三册），见王承略、刘心明主编：《二十五史艺文经籍志考补萃编》第十五卷，北京：清华大学出版社，2014年标点本，第1526页。</w:t>
      </w:r>
    </w:p>
  </w:endnote>
  <w:endnote w:id="142">
    <w:p w14:paraId="22057186" w14:textId="77777777" w:rsidR="0044246D" w:rsidRDefault="0044246D" w:rsidP="004726FD">
      <w:pPr>
        <w:pStyle w:val="ad"/>
        <w:ind w:firstLine="360"/>
      </w:pPr>
      <w:r>
        <w:rPr>
          <w:rStyle w:val="afd"/>
        </w:rPr>
        <w:endnoteRef/>
      </w:r>
      <w:r>
        <w:rPr>
          <w:rFonts w:hint="eastAsia"/>
        </w:rPr>
        <w:t xml:space="preserve"> 钟少异：《古相剑术刍论》，《考古》1994年第4期。</w:t>
      </w:r>
    </w:p>
  </w:endnote>
  <w:endnote w:id="143">
    <w:p w14:paraId="45E0F66C" w14:textId="77777777" w:rsidR="0044246D" w:rsidRDefault="0044246D" w:rsidP="004726FD">
      <w:pPr>
        <w:pStyle w:val="ad"/>
        <w:ind w:firstLine="360"/>
      </w:pPr>
      <w:r>
        <w:rPr>
          <w:rStyle w:val="afd"/>
        </w:rPr>
        <w:endnoteRef/>
      </w:r>
      <w:r>
        <w:rPr>
          <w:rFonts w:hint="eastAsia"/>
        </w:rPr>
        <w:t xml:space="preserve"> 钟少异：《古相剑术刍论》，《考古》1994年第4期。</w:t>
      </w:r>
    </w:p>
  </w:endnote>
  <w:endnote w:id="144">
    <w:p w14:paraId="625A77C8" w14:textId="77777777" w:rsidR="0044246D" w:rsidRDefault="0044246D" w:rsidP="004726FD">
      <w:pPr>
        <w:pStyle w:val="ad"/>
        <w:ind w:firstLine="360"/>
      </w:pPr>
      <w:r>
        <w:rPr>
          <w:rStyle w:val="afd"/>
        </w:rPr>
        <w:endnoteRef/>
      </w:r>
      <w:r>
        <w:rPr>
          <w:rFonts w:hint="eastAsia"/>
        </w:rPr>
        <w:t xml:space="preserve"> 孙诒让：《周礼正义》卷七十四，第</w:t>
      </w:r>
      <w:r>
        <w:rPr>
          <w:rFonts w:eastAsia="等线" w:hint="eastAsia"/>
        </w:rPr>
        <w:t>3758</w:t>
      </w:r>
      <w:r>
        <w:rPr>
          <w:rFonts w:hint="eastAsia"/>
        </w:rPr>
        <w:t>页。</w:t>
      </w:r>
    </w:p>
  </w:endnote>
  <w:endnote w:id="145">
    <w:p w14:paraId="43B218BC" w14:textId="77777777" w:rsidR="0044246D" w:rsidRDefault="0044246D" w:rsidP="004726FD">
      <w:pPr>
        <w:pStyle w:val="ad"/>
        <w:ind w:firstLine="360"/>
      </w:pPr>
      <w:r>
        <w:rPr>
          <w:rStyle w:val="afd"/>
        </w:rPr>
        <w:endnoteRef/>
      </w:r>
      <w:r>
        <w:rPr>
          <w:rFonts w:hint="eastAsia"/>
        </w:rPr>
        <w:t xml:space="preserve"> 郭庆藩：《庄子集释》，第544页。</w:t>
      </w:r>
    </w:p>
  </w:endnote>
  <w:endnote w:id="146">
    <w:p w14:paraId="226BBF69" w14:textId="77777777" w:rsidR="0044246D" w:rsidRDefault="0044246D" w:rsidP="004726FD">
      <w:pPr>
        <w:pStyle w:val="ad"/>
        <w:ind w:firstLine="360"/>
      </w:pPr>
      <w:r>
        <w:rPr>
          <w:rStyle w:val="afd"/>
        </w:rPr>
        <w:endnoteRef/>
      </w:r>
      <w:r>
        <w:rPr>
          <w:rFonts w:hint="eastAsia"/>
        </w:rPr>
        <w:t xml:space="preserve"> 许维遹：《吕氏春秋集释》，第606页。</w:t>
      </w:r>
    </w:p>
  </w:endnote>
  <w:endnote w:id="147">
    <w:p w14:paraId="1A9AF431" w14:textId="77777777" w:rsidR="0044246D" w:rsidRDefault="0044246D" w:rsidP="004726FD">
      <w:pPr>
        <w:pStyle w:val="ad"/>
        <w:ind w:firstLine="360"/>
      </w:pPr>
      <w:r>
        <w:rPr>
          <w:rStyle w:val="afd"/>
        </w:rPr>
        <w:endnoteRef/>
      </w:r>
      <w:r>
        <w:rPr>
          <w:rFonts w:hint="eastAsia"/>
        </w:rPr>
        <w:t xml:space="preserve"> 王先慎：《韩非子集解》，第179页。</w:t>
      </w:r>
    </w:p>
  </w:endnote>
  <w:endnote w:id="148">
    <w:p w14:paraId="4596B57F" w14:textId="77777777" w:rsidR="0044246D" w:rsidRDefault="0044246D" w:rsidP="004726FD">
      <w:pPr>
        <w:pStyle w:val="ad"/>
        <w:ind w:firstLine="360"/>
      </w:pPr>
      <w:r>
        <w:rPr>
          <w:rStyle w:val="afd"/>
        </w:rPr>
        <w:endnoteRef/>
      </w:r>
      <w:r>
        <w:rPr>
          <w:rFonts w:hint="eastAsia"/>
        </w:rPr>
        <w:t xml:space="preserve"> </w:t>
      </w:r>
      <w:r>
        <w:rPr>
          <w:rFonts w:hint="eastAsia"/>
          <w:lang w:val="zh-CN"/>
        </w:rPr>
        <w:t>王学理</w:t>
      </w:r>
      <w:r>
        <w:rPr>
          <w:rFonts w:hint="eastAsia"/>
        </w:rPr>
        <w:t>：</w:t>
      </w:r>
      <w:r>
        <w:rPr>
          <w:rFonts w:hint="eastAsia"/>
          <w:lang w:val="zh-CN"/>
        </w:rPr>
        <w:t>《秦俑坑青铜器的科技成就管窥》</w:t>
      </w:r>
      <w:r>
        <w:rPr>
          <w:rFonts w:hint="eastAsia"/>
        </w:rPr>
        <w:t>，</w:t>
      </w:r>
      <w:r>
        <w:rPr>
          <w:rFonts w:hint="eastAsia"/>
          <w:lang w:val="zh-CN"/>
        </w:rPr>
        <w:t>《考古与文物》</w:t>
      </w:r>
      <w:r>
        <w:rPr>
          <w:rFonts w:hint="eastAsia"/>
        </w:rPr>
        <w:t>1980年第1期。</w:t>
      </w:r>
    </w:p>
  </w:endnote>
  <w:endnote w:id="149">
    <w:p w14:paraId="41BD9DBB" w14:textId="77777777" w:rsidR="0044246D" w:rsidRDefault="0044246D" w:rsidP="004726FD">
      <w:pPr>
        <w:pStyle w:val="ad"/>
        <w:ind w:firstLine="360"/>
      </w:pPr>
      <w:r>
        <w:rPr>
          <w:rStyle w:val="afd"/>
        </w:rPr>
        <w:endnoteRef/>
      </w:r>
      <w:r>
        <w:rPr>
          <w:rFonts w:hint="eastAsia"/>
        </w:rPr>
        <w:t xml:space="preserve"> </w:t>
      </w:r>
      <w:r>
        <w:rPr>
          <w:rFonts w:hint="eastAsia"/>
          <w:lang w:val="zh-CN"/>
        </w:rPr>
        <w:t>德庆、广宁铜斧资料见苏荣誉、华觉明、李克敏、卢本珊</w:t>
      </w:r>
      <w:r>
        <w:rPr>
          <w:rFonts w:hint="eastAsia"/>
        </w:rPr>
        <w:t>：</w:t>
      </w:r>
      <w:r>
        <w:rPr>
          <w:rFonts w:hint="eastAsia"/>
          <w:lang w:val="zh-CN"/>
        </w:rPr>
        <w:t>《中国上古金属技术》</w:t>
      </w:r>
      <w:r>
        <w:rPr>
          <w:rFonts w:hint="eastAsia"/>
        </w:rPr>
        <w:t>，</w:t>
      </w:r>
      <w:r>
        <w:rPr>
          <w:rFonts w:hint="eastAsia"/>
          <w:lang w:val="zh-CN"/>
        </w:rPr>
        <w:t>济南</w:t>
      </w:r>
      <w:r>
        <w:rPr>
          <w:rFonts w:hint="eastAsia"/>
        </w:rPr>
        <w:t>：</w:t>
      </w:r>
      <w:r>
        <w:rPr>
          <w:rFonts w:hint="eastAsia"/>
          <w:lang w:val="zh-CN"/>
        </w:rPr>
        <w:t>山东科学技术出版社</w:t>
      </w:r>
      <w:r>
        <w:rPr>
          <w:rFonts w:hint="eastAsia"/>
        </w:rPr>
        <w:t>，1995</w:t>
      </w:r>
      <w:r>
        <w:rPr>
          <w:rFonts w:hint="eastAsia"/>
          <w:lang w:val="zh-CN"/>
        </w:rPr>
        <w:t>年</w:t>
      </w:r>
      <w:r>
        <w:rPr>
          <w:rFonts w:hint="eastAsia"/>
        </w:rPr>
        <w:t>，</w:t>
      </w:r>
      <w:r>
        <w:rPr>
          <w:rFonts w:hint="eastAsia"/>
          <w:lang w:val="zh-CN"/>
        </w:rPr>
        <w:t>第</w:t>
      </w:r>
      <w:r>
        <w:rPr>
          <w:rFonts w:hint="eastAsia"/>
        </w:rPr>
        <w:t>281</w:t>
      </w:r>
      <w:r>
        <w:rPr>
          <w:rFonts w:hint="eastAsia"/>
          <w:lang w:val="zh-CN"/>
        </w:rPr>
        <w:t>页。罗定铜斧、佛岗复合剑资料见</w:t>
      </w:r>
      <w:r>
        <w:rPr>
          <w:rFonts w:hint="eastAsia"/>
        </w:rPr>
        <w:t>徐恒彬、黄渭馨、王秀兰、华觉明：《广东省出土青铜器冶铸技术的研究》，《华觉明自选集（上）》，郑州：大象出版社，2017年，第238-260页。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书宋简体">
    <w:altName w:val="微软雅黑"/>
    <w:charset w:val="86"/>
    <w:family w:val="script"/>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Microsoft JhengHei"/>
    <w:charset w:val="88"/>
    <w:family w:val="modern"/>
    <w:pitch w:val="default"/>
    <w:sig w:usb0="00000000" w:usb1="0000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charset w:val="00"/>
    <w:family w:val="roman"/>
    <w:pitch w:val="default"/>
  </w:font>
  <w:font w:name="新宋体">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仿宋简体">
    <w:altName w:val="微软雅黑"/>
    <w:charset w:val="86"/>
    <w:family w:val="auto"/>
    <w:pitch w:val="default"/>
    <w:sig w:usb0="00000000" w:usb1="00000000" w:usb2="00000010" w:usb3="00000000" w:csb0="00040000" w:csb1="00000000"/>
  </w:font>
  <w:font w:name="方正楷体简体">
    <w:altName w:val="微软雅黑"/>
    <w:charset w:val="86"/>
    <w:family w:val="auto"/>
    <w:pitch w:val="default"/>
    <w:sig w:usb0="00000000" w:usb1="0000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imSun-ExtB">
    <w:panose1 w:val="02010609060101010101"/>
    <w:charset w:val="86"/>
    <w:family w:val="modern"/>
    <w:pitch w:val="fixed"/>
    <w:sig w:usb0="00000003" w:usb1="0A0E0000" w:usb2="00000010" w:usb3="00000000" w:csb0="00040001" w:csb1="00000000"/>
  </w:font>
  <w:font w:name="中华书局宋体02平面">
    <w:altName w:val="微软雅黑"/>
    <w:panose1 w:val="03000509000000000000"/>
    <w:charset w:val="86"/>
    <w:family w:val="script"/>
    <w:pitch w:val="fixed"/>
    <w:sig w:usb0="10002003" w:usb1="AB1E0800" w:usb2="000A005E" w:usb3="00000000" w:csb0="003C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3CCF" w14:textId="77777777" w:rsidR="00C64CDB" w:rsidRDefault="00FA30F4">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6083D0A7" w14:textId="77777777" w:rsidR="00C64CDB" w:rsidRDefault="00C64CDB">
    <w:pPr>
      <w:pStyle w:val="af0"/>
    </w:pPr>
  </w:p>
  <w:p w14:paraId="3BE86F75" w14:textId="77777777" w:rsidR="00C64CDB" w:rsidRDefault="00C64C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91279" w14:textId="1A047F58" w:rsidR="00C64CDB" w:rsidRDefault="00FA30F4">
    <w:pPr>
      <w:tabs>
        <w:tab w:val="center" w:pos="4153"/>
        <w:tab w:val="right" w:pos="8306"/>
      </w:tabs>
      <w:rPr>
        <w:sz w:val="18"/>
        <w:szCs w:val="18"/>
      </w:rPr>
    </w:pPr>
    <w:r>
      <w:rPr>
        <w:rFonts w:hint="eastAsia"/>
        <w:sz w:val="18"/>
        <w:szCs w:val="18"/>
      </w:rPr>
      <w:t>收稿日期：</w:t>
    </w:r>
    <w:r>
      <w:rPr>
        <w:sz w:val="18"/>
        <w:szCs w:val="18"/>
      </w:rPr>
      <w:t>20</w:t>
    </w:r>
    <w:r>
      <w:rPr>
        <w:rFonts w:hint="eastAsia"/>
        <w:sz w:val="18"/>
        <w:szCs w:val="18"/>
      </w:rPr>
      <w:t>2</w:t>
    </w:r>
    <w:r w:rsidR="006D45E3">
      <w:rPr>
        <w:rFonts w:hint="eastAsia"/>
        <w:sz w:val="18"/>
        <w:szCs w:val="18"/>
      </w:rPr>
      <w:t>4</w:t>
    </w:r>
    <w:r>
      <w:rPr>
        <w:rFonts w:hint="eastAsia"/>
        <w:sz w:val="18"/>
        <w:szCs w:val="18"/>
      </w:rPr>
      <w:t>年</w:t>
    </w:r>
    <w:r w:rsidR="006D45E3">
      <w:rPr>
        <w:rFonts w:hint="eastAsia"/>
        <w:sz w:val="18"/>
        <w:szCs w:val="18"/>
      </w:rPr>
      <w:t>6</w:t>
    </w:r>
    <w:r>
      <w:rPr>
        <w:rFonts w:hint="eastAsia"/>
        <w:sz w:val="18"/>
        <w:szCs w:val="18"/>
      </w:rPr>
      <w:t>月</w:t>
    </w:r>
    <w:r w:rsidR="006D45E3">
      <w:rPr>
        <w:rFonts w:hint="eastAsia"/>
        <w:sz w:val="18"/>
        <w:szCs w:val="18"/>
      </w:rPr>
      <w:t>23</w:t>
    </w:r>
    <w:r>
      <w:rPr>
        <w:rFonts w:hint="eastAsia"/>
        <w:sz w:val="18"/>
        <w:szCs w:val="18"/>
      </w:rPr>
      <w:t>日</w:t>
    </w:r>
    <w:r>
      <w:rPr>
        <w:sz w:val="18"/>
        <w:szCs w:val="18"/>
      </w:rPr>
      <w:tab/>
    </w:r>
    <w:r>
      <w:rPr>
        <w:rFonts w:hint="eastAsia"/>
        <w:sz w:val="18"/>
        <w:szCs w:val="18"/>
      </w:rPr>
      <w:t>发布日期：</w:t>
    </w:r>
    <w:r w:rsidR="006D45E3">
      <w:rPr>
        <w:sz w:val="18"/>
        <w:szCs w:val="18"/>
      </w:rPr>
      <w:t>20</w:t>
    </w:r>
    <w:r w:rsidR="006D45E3">
      <w:rPr>
        <w:rFonts w:hint="eastAsia"/>
        <w:sz w:val="18"/>
        <w:szCs w:val="18"/>
      </w:rPr>
      <w:t>24年6月23日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2</w:t>
    </w:r>
    <w:r>
      <w:rPr>
        <w:sz w:val="18"/>
        <w:szCs w:val="18"/>
      </w:rPr>
      <w:fldChar w:fldCharType="end"/>
    </w:r>
  </w:p>
  <w:p w14:paraId="3E969B4D" w14:textId="77777777" w:rsidR="00C64CDB" w:rsidRPr="006D45E3" w:rsidRDefault="00C64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1FC37" w14:textId="77777777" w:rsidR="005E5685" w:rsidRDefault="005E5685">
      <w:r>
        <w:separator/>
      </w:r>
    </w:p>
  </w:footnote>
  <w:footnote w:type="continuationSeparator" w:id="0">
    <w:p w14:paraId="0B9FD0A1" w14:textId="77777777" w:rsidR="005E5685" w:rsidRDefault="005E5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9F465" w14:textId="77777777" w:rsidR="00C64CDB" w:rsidRDefault="00FA30F4">
    <w:pPr>
      <w:pStyle w:val="af2"/>
      <w:spacing w:before="240" w:after="240"/>
      <w:ind w:firstLine="436"/>
    </w:pPr>
    <w:r>
      <w:rPr>
        <w:rFonts w:hint="eastAsia"/>
      </w:rPr>
      <w:t>复旦大学出土文献与古文字研究中心网站论文</w:t>
    </w:r>
  </w:p>
  <w:p w14:paraId="414180E0" w14:textId="5DBA97BF" w:rsidR="00C64CDB" w:rsidRDefault="00FA30F4">
    <w:pPr>
      <w:pStyle w:val="af2"/>
      <w:spacing w:before="240" w:after="240"/>
      <w:ind w:firstLine="436"/>
    </w:pPr>
    <w:r>
      <w:rPr>
        <w:rFonts w:hint="eastAsia"/>
      </w:rPr>
      <w:t>链接：</w:t>
    </w:r>
    <w:r>
      <w:t>http://www.fdgwz.org.cn/Web/Show/1</w:t>
    </w:r>
    <w:r w:rsidR="00EF374E">
      <w:t>1</w:t>
    </w:r>
    <w:r w:rsidR="0028622A">
      <w:rPr>
        <w:rFonts w:hint="eastAsia"/>
      </w:rPr>
      <w:t>1</w:t>
    </w:r>
    <w:r w:rsidR="0044246D">
      <w:rPr>
        <w:rFonts w:hint="eastAsia"/>
      </w:rPr>
      <w:t>64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RjNGUxZTgwY2MzMjZjZTM0ZWQ3NzZiOWQxMGM3OGMifQ=="/>
  </w:docVars>
  <w:rsids>
    <w:rsidRoot w:val="00CB0024"/>
    <w:rsid w:val="00000665"/>
    <w:rsid w:val="000038DD"/>
    <w:rsid w:val="00004756"/>
    <w:rsid w:val="000118C4"/>
    <w:rsid w:val="00011970"/>
    <w:rsid w:val="000133A5"/>
    <w:rsid w:val="000160FB"/>
    <w:rsid w:val="00016334"/>
    <w:rsid w:val="000176BF"/>
    <w:rsid w:val="00017A9C"/>
    <w:rsid w:val="00017F20"/>
    <w:rsid w:val="000205F4"/>
    <w:rsid w:val="00020D3E"/>
    <w:rsid w:val="00020E8F"/>
    <w:rsid w:val="00021234"/>
    <w:rsid w:val="00022497"/>
    <w:rsid w:val="0002486C"/>
    <w:rsid w:val="000269A2"/>
    <w:rsid w:val="00031027"/>
    <w:rsid w:val="0003211C"/>
    <w:rsid w:val="00032E60"/>
    <w:rsid w:val="00033997"/>
    <w:rsid w:val="00033F9D"/>
    <w:rsid w:val="00035922"/>
    <w:rsid w:val="00036B75"/>
    <w:rsid w:val="00036C59"/>
    <w:rsid w:val="00037D45"/>
    <w:rsid w:val="000414E8"/>
    <w:rsid w:val="00041765"/>
    <w:rsid w:val="00041E3D"/>
    <w:rsid w:val="00043973"/>
    <w:rsid w:val="00043DAA"/>
    <w:rsid w:val="00046688"/>
    <w:rsid w:val="00050E7C"/>
    <w:rsid w:val="0005645C"/>
    <w:rsid w:val="000602F4"/>
    <w:rsid w:val="00060DC7"/>
    <w:rsid w:val="000626A6"/>
    <w:rsid w:val="000642EB"/>
    <w:rsid w:val="0006648C"/>
    <w:rsid w:val="00067514"/>
    <w:rsid w:val="00073508"/>
    <w:rsid w:val="00075069"/>
    <w:rsid w:val="00075BC1"/>
    <w:rsid w:val="00076D07"/>
    <w:rsid w:val="00076F82"/>
    <w:rsid w:val="0008174D"/>
    <w:rsid w:val="00084150"/>
    <w:rsid w:val="000860FF"/>
    <w:rsid w:val="00086283"/>
    <w:rsid w:val="00095B2D"/>
    <w:rsid w:val="000A4034"/>
    <w:rsid w:val="000A4A8F"/>
    <w:rsid w:val="000A567C"/>
    <w:rsid w:val="000B02C6"/>
    <w:rsid w:val="000B3534"/>
    <w:rsid w:val="000B3E82"/>
    <w:rsid w:val="000B4C47"/>
    <w:rsid w:val="000B6762"/>
    <w:rsid w:val="000B7803"/>
    <w:rsid w:val="000C16D2"/>
    <w:rsid w:val="000C1EE7"/>
    <w:rsid w:val="000C306D"/>
    <w:rsid w:val="000C439A"/>
    <w:rsid w:val="000D0719"/>
    <w:rsid w:val="000D135F"/>
    <w:rsid w:val="000D13F8"/>
    <w:rsid w:val="000D6B61"/>
    <w:rsid w:val="000E12E3"/>
    <w:rsid w:val="000E2C87"/>
    <w:rsid w:val="000E3AF3"/>
    <w:rsid w:val="000E4237"/>
    <w:rsid w:val="000E738A"/>
    <w:rsid w:val="000E7C8B"/>
    <w:rsid w:val="000F28A8"/>
    <w:rsid w:val="000F445B"/>
    <w:rsid w:val="000F4BED"/>
    <w:rsid w:val="000F548E"/>
    <w:rsid w:val="001000A8"/>
    <w:rsid w:val="00100BE3"/>
    <w:rsid w:val="00102E1C"/>
    <w:rsid w:val="0010392E"/>
    <w:rsid w:val="00104E73"/>
    <w:rsid w:val="00110B5F"/>
    <w:rsid w:val="00112D77"/>
    <w:rsid w:val="00113F8F"/>
    <w:rsid w:val="00114AB0"/>
    <w:rsid w:val="00117A29"/>
    <w:rsid w:val="001273D1"/>
    <w:rsid w:val="00130713"/>
    <w:rsid w:val="00131D4E"/>
    <w:rsid w:val="001332B7"/>
    <w:rsid w:val="001347BB"/>
    <w:rsid w:val="00135E38"/>
    <w:rsid w:val="0013704E"/>
    <w:rsid w:val="001406A3"/>
    <w:rsid w:val="00140848"/>
    <w:rsid w:val="00140894"/>
    <w:rsid w:val="001433AC"/>
    <w:rsid w:val="0014698C"/>
    <w:rsid w:val="00154671"/>
    <w:rsid w:val="00156D70"/>
    <w:rsid w:val="00157CC9"/>
    <w:rsid w:val="00160DDF"/>
    <w:rsid w:val="00161956"/>
    <w:rsid w:val="001632CA"/>
    <w:rsid w:val="00163364"/>
    <w:rsid w:val="001641C2"/>
    <w:rsid w:val="00167A7A"/>
    <w:rsid w:val="00170500"/>
    <w:rsid w:val="00170CAA"/>
    <w:rsid w:val="00173ABC"/>
    <w:rsid w:val="00173B79"/>
    <w:rsid w:val="00175793"/>
    <w:rsid w:val="0017795C"/>
    <w:rsid w:val="001801DC"/>
    <w:rsid w:val="00180430"/>
    <w:rsid w:val="00181901"/>
    <w:rsid w:val="001825C2"/>
    <w:rsid w:val="0018424B"/>
    <w:rsid w:val="0018778C"/>
    <w:rsid w:val="00191B35"/>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5F37"/>
    <w:rsid w:val="001B682E"/>
    <w:rsid w:val="001B6C4A"/>
    <w:rsid w:val="001B710F"/>
    <w:rsid w:val="001B771E"/>
    <w:rsid w:val="001C01CD"/>
    <w:rsid w:val="001C0A09"/>
    <w:rsid w:val="001C0EEC"/>
    <w:rsid w:val="001C2AB0"/>
    <w:rsid w:val="001C3756"/>
    <w:rsid w:val="001C4566"/>
    <w:rsid w:val="001C46F8"/>
    <w:rsid w:val="001C743C"/>
    <w:rsid w:val="001C7CFF"/>
    <w:rsid w:val="001C7EF2"/>
    <w:rsid w:val="001D1713"/>
    <w:rsid w:val="001D1CFC"/>
    <w:rsid w:val="001D427D"/>
    <w:rsid w:val="001D6615"/>
    <w:rsid w:val="001D76E5"/>
    <w:rsid w:val="001D7AFE"/>
    <w:rsid w:val="001E6598"/>
    <w:rsid w:val="001E71B9"/>
    <w:rsid w:val="001F1566"/>
    <w:rsid w:val="001F1BFC"/>
    <w:rsid w:val="001F7BAB"/>
    <w:rsid w:val="002000B5"/>
    <w:rsid w:val="002009A6"/>
    <w:rsid w:val="00200B58"/>
    <w:rsid w:val="002076FA"/>
    <w:rsid w:val="00211416"/>
    <w:rsid w:val="002117E4"/>
    <w:rsid w:val="00211B2F"/>
    <w:rsid w:val="002129CF"/>
    <w:rsid w:val="00216AB7"/>
    <w:rsid w:val="00217A9A"/>
    <w:rsid w:val="002209DA"/>
    <w:rsid w:val="002211DE"/>
    <w:rsid w:val="00221F6F"/>
    <w:rsid w:val="00222C57"/>
    <w:rsid w:val="00222DB3"/>
    <w:rsid w:val="00222FCE"/>
    <w:rsid w:val="00226A4D"/>
    <w:rsid w:val="00231125"/>
    <w:rsid w:val="00231D53"/>
    <w:rsid w:val="0023231C"/>
    <w:rsid w:val="002346A0"/>
    <w:rsid w:val="00237037"/>
    <w:rsid w:val="002372F1"/>
    <w:rsid w:val="00240C8C"/>
    <w:rsid w:val="00240D78"/>
    <w:rsid w:val="00240EAB"/>
    <w:rsid w:val="00243FD0"/>
    <w:rsid w:val="002452F9"/>
    <w:rsid w:val="0024748E"/>
    <w:rsid w:val="0025043C"/>
    <w:rsid w:val="00250AD9"/>
    <w:rsid w:val="00250B5A"/>
    <w:rsid w:val="002510D1"/>
    <w:rsid w:val="00253015"/>
    <w:rsid w:val="002530D7"/>
    <w:rsid w:val="00253AA5"/>
    <w:rsid w:val="00253DAA"/>
    <w:rsid w:val="00254681"/>
    <w:rsid w:val="00257291"/>
    <w:rsid w:val="00257D63"/>
    <w:rsid w:val="0026058F"/>
    <w:rsid w:val="0026193B"/>
    <w:rsid w:val="00261D2E"/>
    <w:rsid w:val="00262221"/>
    <w:rsid w:val="00263B82"/>
    <w:rsid w:val="00270FAE"/>
    <w:rsid w:val="0027142D"/>
    <w:rsid w:val="002732E6"/>
    <w:rsid w:val="00273C56"/>
    <w:rsid w:val="00276ACF"/>
    <w:rsid w:val="0027743E"/>
    <w:rsid w:val="002819AA"/>
    <w:rsid w:val="0028213F"/>
    <w:rsid w:val="0028564F"/>
    <w:rsid w:val="0028622A"/>
    <w:rsid w:val="002865ED"/>
    <w:rsid w:val="002866B4"/>
    <w:rsid w:val="00291D8E"/>
    <w:rsid w:val="00292887"/>
    <w:rsid w:val="00293574"/>
    <w:rsid w:val="002936DF"/>
    <w:rsid w:val="00294FD3"/>
    <w:rsid w:val="002A1D71"/>
    <w:rsid w:val="002A3D97"/>
    <w:rsid w:val="002A4173"/>
    <w:rsid w:val="002A5820"/>
    <w:rsid w:val="002A6194"/>
    <w:rsid w:val="002B0ED9"/>
    <w:rsid w:val="002B2F28"/>
    <w:rsid w:val="002B32DA"/>
    <w:rsid w:val="002B3F0D"/>
    <w:rsid w:val="002C1D30"/>
    <w:rsid w:val="002C4751"/>
    <w:rsid w:val="002C4C02"/>
    <w:rsid w:val="002C70BF"/>
    <w:rsid w:val="002C7445"/>
    <w:rsid w:val="002D0FD4"/>
    <w:rsid w:val="002D37CF"/>
    <w:rsid w:val="002D5A42"/>
    <w:rsid w:val="002D5CCD"/>
    <w:rsid w:val="002D70C9"/>
    <w:rsid w:val="002D74D8"/>
    <w:rsid w:val="002D7F21"/>
    <w:rsid w:val="002E23C3"/>
    <w:rsid w:val="002E2792"/>
    <w:rsid w:val="002E503F"/>
    <w:rsid w:val="002E6B02"/>
    <w:rsid w:val="002E722C"/>
    <w:rsid w:val="002F12CC"/>
    <w:rsid w:val="002F1FE6"/>
    <w:rsid w:val="002F2D81"/>
    <w:rsid w:val="002F459B"/>
    <w:rsid w:val="002F52DC"/>
    <w:rsid w:val="00300BB1"/>
    <w:rsid w:val="0030415D"/>
    <w:rsid w:val="00307775"/>
    <w:rsid w:val="003108A4"/>
    <w:rsid w:val="00311E98"/>
    <w:rsid w:val="00312503"/>
    <w:rsid w:val="00313A1D"/>
    <w:rsid w:val="00314632"/>
    <w:rsid w:val="00314846"/>
    <w:rsid w:val="00317DBF"/>
    <w:rsid w:val="00317E80"/>
    <w:rsid w:val="0032051F"/>
    <w:rsid w:val="00324A0C"/>
    <w:rsid w:val="00324B47"/>
    <w:rsid w:val="00324F02"/>
    <w:rsid w:val="00327329"/>
    <w:rsid w:val="00327BF1"/>
    <w:rsid w:val="00330794"/>
    <w:rsid w:val="00330B16"/>
    <w:rsid w:val="00332FF4"/>
    <w:rsid w:val="00334313"/>
    <w:rsid w:val="0033589E"/>
    <w:rsid w:val="00336427"/>
    <w:rsid w:val="003367D1"/>
    <w:rsid w:val="003370F3"/>
    <w:rsid w:val="00340C74"/>
    <w:rsid w:val="003516DF"/>
    <w:rsid w:val="00351C37"/>
    <w:rsid w:val="00353C36"/>
    <w:rsid w:val="003541B9"/>
    <w:rsid w:val="00355808"/>
    <w:rsid w:val="0036013B"/>
    <w:rsid w:val="00360E86"/>
    <w:rsid w:val="00362416"/>
    <w:rsid w:val="00362829"/>
    <w:rsid w:val="003630D0"/>
    <w:rsid w:val="00365AA8"/>
    <w:rsid w:val="00373178"/>
    <w:rsid w:val="00374381"/>
    <w:rsid w:val="00375FA4"/>
    <w:rsid w:val="00376418"/>
    <w:rsid w:val="00377962"/>
    <w:rsid w:val="003804C5"/>
    <w:rsid w:val="00380E0F"/>
    <w:rsid w:val="00382F27"/>
    <w:rsid w:val="0038302C"/>
    <w:rsid w:val="003862DC"/>
    <w:rsid w:val="00386579"/>
    <w:rsid w:val="003914E2"/>
    <w:rsid w:val="00394082"/>
    <w:rsid w:val="00395D81"/>
    <w:rsid w:val="00396317"/>
    <w:rsid w:val="003A0D1A"/>
    <w:rsid w:val="003B4873"/>
    <w:rsid w:val="003B655A"/>
    <w:rsid w:val="003C0C82"/>
    <w:rsid w:val="003C12E0"/>
    <w:rsid w:val="003C1BBA"/>
    <w:rsid w:val="003C2805"/>
    <w:rsid w:val="003C3289"/>
    <w:rsid w:val="003C3A8B"/>
    <w:rsid w:val="003C4800"/>
    <w:rsid w:val="003C4D06"/>
    <w:rsid w:val="003D04C9"/>
    <w:rsid w:val="003D1C8E"/>
    <w:rsid w:val="003D46B8"/>
    <w:rsid w:val="003D4D57"/>
    <w:rsid w:val="003E1354"/>
    <w:rsid w:val="003E1502"/>
    <w:rsid w:val="003E1E5C"/>
    <w:rsid w:val="003E335D"/>
    <w:rsid w:val="003F1FF4"/>
    <w:rsid w:val="003F3825"/>
    <w:rsid w:val="003F536E"/>
    <w:rsid w:val="003F604F"/>
    <w:rsid w:val="004034AC"/>
    <w:rsid w:val="00403C1D"/>
    <w:rsid w:val="004045F2"/>
    <w:rsid w:val="0040573D"/>
    <w:rsid w:val="0040657F"/>
    <w:rsid w:val="004127DD"/>
    <w:rsid w:val="00416CDF"/>
    <w:rsid w:val="004179F2"/>
    <w:rsid w:val="00420C57"/>
    <w:rsid w:val="00420CE9"/>
    <w:rsid w:val="00424EDC"/>
    <w:rsid w:val="004274DB"/>
    <w:rsid w:val="00430178"/>
    <w:rsid w:val="0043067E"/>
    <w:rsid w:val="00430CA7"/>
    <w:rsid w:val="00430F52"/>
    <w:rsid w:val="00431BEA"/>
    <w:rsid w:val="004331F5"/>
    <w:rsid w:val="004346F5"/>
    <w:rsid w:val="00440BE0"/>
    <w:rsid w:val="00441769"/>
    <w:rsid w:val="00442291"/>
    <w:rsid w:val="0044246D"/>
    <w:rsid w:val="004428F9"/>
    <w:rsid w:val="00445B35"/>
    <w:rsid w:val="004465F0"/>
    <w:rsid w:val="00451050"/>
    <w:rsid w:val="00451C33"/>
    <w:rsid w:val="004555EF"/>
    <w:rsid w:val="00456FAD"/>
    <w:rsid w:val="004575BE"/>
    <w:rsid w:val="004628E8"/>
    <w:rsid w:val="0046522D"/>
    <w:rsid w:val="00466A1C"/>
    <w:rsid w:val="004700EF"/>
    <w:rsid w:val="00471E95"/>
    <w:rsid w:val="004726FD"/>
    <w:rsid w:val="004756A5"/>
    <w:rsid w:val="00475942"/>
    <w:rsid w:val="00476AB7"/>
    <w:rsid w:val="0048087E"/>
    <w:rsid w:val="0048364F"/>
    <w:rsid w:val="00483F6F"/>
    <w:rsid w:val="004860A2"/>
    <w:rsid w:val="00490EA7"/>
    <w:rsid w:val="004918C3"/>
    <w:rsid w:val="00492180"/>
    <w:rsid w:val="004974E0"/>
    <w:rsid w:val="00497B78"/>
    <w:rsid w:val="004A0DA8"/>
    <w:rsid w:val="004A1861"/>
    <w:rsid w:val="004A2935"/>
    <w:rsid w:val="004A2C87"/>
    <w:rsid w:val="004A588E"/>
    <w:rsid w:val="004A796C"/>
    <w:rsid w:val="004A7E18"/>
    <w:rsid w:val="004B0674"/>
    <w:rsid w:val="004B0A34"/>
    <w:rsid w:val="004B0D90"/>
    <w:rsid w:val="004B12DE"/>
    <w:rsid w:val="004B1FBB"/>
    <w:rsid w:val="004B34E3"/>
    <w:rsid w:val="004B3C9F"/>
    <w:rsid w:val="004B405F"/>
    <w:rsid w:val="004B4723"/>
    <w:rsid w:val="004B4853"/>
    <w:rsid w:val="004C2B43"/>
    <w:rsid w:val="004D1FA3"/>
    <w:rsid w:val="004D4706"/>
    <w:rsid w:val="004D763B"/>
    <w:rsid w:val="004E0A07"/>
    <w:rsid w:val="004E2EDC"/>
    <w:rsid w:val="004E4CF3"/>
    <w:rsid w:val="004E6E8E"/>
    <w:rsid w:val="004F15B7"/>
    <w:rsid w:val="004F244C"/>
    <w:rsid w:val="004F53B6"/>
    <w:rsid w:val="004F618B"/>
    <w:rsid w:val="004F62FC"/>
    <w:rsid w:val="004F6F0B"/>
    <w:rsid w:val="004F6F9B"/>
    <w:rsid w:val="005002E6"/>
    <w:rsid w:val="00503A9E"/>
    <w:rsid w:val="005045E9"/>
    <w:rsid w:val="005049FB"/>
    <w:rsid w:val="005051B7"/>
    <w:rsid w:val="0051092B"/>
    <w:rsid w:val="0051119A"/>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69E"/>
    <w:rsid w:val="00546876"/>
    <w:rsid w:val="00550387"/>
    <w:rsid w:val="00555D9E"/>
    <w:rsid w:val="00557369"/>
    <w:rsid w:val="00560572"/>
    <w:rsid w:val="00560EBB"/>
    <w:rsid w:val="00561840"/>
    <w:rsid w:val="00564069"/>
    <w:rsid w:val="005661F5"/>
    <w:rsid w:val="00567DFF"/>
    <w:rsid w:val="00570DB1"/>
    <w:rsid w:val="00570E9F"/>
    <w:rsid w:val="005755E3"/>
    <w:rsid w:val="005816FB"/>
    <w:rsid w:val="00582D22"/>
    <w:rsid w:val="00584AEE"/>
    <w:rsid w:val="00586B2B"/>
    <w:rsid w:val="0059105D"/>
    <w:rsid w:val="005935F3"/>
    <w:rsid w:val="00594347"/>
    <w:rsid w:val="005952BE"/>
    <w:rsid w:val="0059594D"/>
    <w:rsid w:val="0059627F"/>
    <w:rsid w:val="005A2D63"/>
    <w:rsid w:val="005A3011"/>
    <w:rsid w:val="005A3CDD"/>
    <w:rsid w:val="005A419C"/>
    <w:rsid w:val="005B29BC"/>
    <w:rsid w:val="005B4D77"/>
    <w:rsid w:val="005B69A6"/>
    <w:rsid w:val="005C1A21"/>
    <w:rsid w:val="005C35AD"/>
    <w:rsid w:val="005C51B2"/>
    <w:rsid w:val="005D22B2"/>
    <w:rsid w:val="005D2BA7"/>
    <w:rsid w:val="005D2F69"/>
    <w:rsid w:val="005D72AD"/>
    <w:rsid w:val="005D7963"/>
    <w:rsid w:val="005E2C50"/>
    <w:rsid w:val="005E4682"/>
    <w:rsid w:val="005E5685"/>
    <w:rsid w:val="005E692D"/>
    <w:rsid w:val="005F201A"/>
    <w:rsid w:val="005F46B5"/>
    <w:rsid w:val="005F486F"/>
    <w:rsid w:val="005F4FAD"/>
    <w:rsid w:val="0060101E"/>
    <w:rsid w:val="00602113"/>
    <w:rsid w:val="00602939"/>
    <w:rsid w:val="006067EA"/>
    <w:rsid w:val="00610E9E"/>
    <w:rsid w:val="006111F2"/>
    <w:rsid w:val="00615885"/>
    <w:rsid w:val="006166C7"/>
    <w:rsid w:val="00620A4F"/>
    <w:rsid w:val="00620F72"/>
    <w:rsid w:val="00623408"/>
    <w:rsid w:val="006245DA"/>
    <w:rsid w:val="0062642B"/>
    <w:rsid w:val="00627B94"/>
    <w:rsid w:val="0063123B"/>
    <w:rsid w:val="0063183B"/>
    <w:rsid w:val="0063231F"/>
    <w:rsid w:val="00634446"/>
    <w:rsid w:val="00634CBD"/>
    <w:rsid w:val="00635FA4"/>
    <w:rsid w:val="006369AC"/>
    <w:rsid w:val="00640B39"/>
    <w:rsid w:val="006424EC"/>
    <w:rsid w:val="00650E61"/>
    <w:rsid w:val="0065256A"/>
    <w:rsid w:val="00655ED0"/>
    <w:rsid w:val="00657C44"/>
    <w:rsid w:val="00665791"/>
    <w:rsid w:val="0067280A"/>
    <w:rsid w:val="00672EC8"/>
    <w:rsid w:val="00673C78"/>
    <w:rsid w:val="00676EC3"/>
    <w:rsid w:val="00682D5D"/>
    <w:rsid w:val="00686575"/>
    <w:rsid w:val="00686797"/>
    <w:rsid w:val="00691FEB"/>
    <w:rsid w:val="0069369C"/>
    <w:rsid w:val="00693A5D"/>
    <w:rsid w:val="006A1B0D"/>
    <w:rsid w:val="006A1B39"/>
    <w:rsid w:val="006A3D5C"/>
    <w:rsid w:val="006A3F90"/>
    <w:rsid w:val="006A5107"/>
    <w:rsid w:val="006A6FF2"/>
    <w:rsid w:val="006B044D"/>
    <w:rsid w:val="006B0F0D"/>
    <w:rsid w:val="006B1CF9"/>
    <w:rsid w:val="006B3D53"/>
    <w:rsid w:val="006B47EE"/>
    <w:rsid w:val="006B779D"/>
    <w:rsid w:val="006C0387"/>
    <w:rsid w:val="006C0AE5"/>
    <w:rsid w:val="006C21A8"/>
    <w:rsid w:val="006C4A5D"/>
    <w:rsid w:val="006C5EDC"/>
    <w:rsid w:val="006C6BAA"/>
    <w:rsid w:val="006C73EC"/>
    <w:rsid w:val="006C7B3A"/>
    <w:rsid w:val="006D1D65"/>
    <w:rsid w:val="006D408B"/>
    <w:rsid w:val="006D45E3"/>
    <w:rsid w:val="006D4657"/>
    <w:rsid w:val="006D7752"/>
    <w:rsid w:val="006E0E0C"/>
    <w:rsid w:val="006E2F87"/>
    <w:rsid w:val="006E5250"/>
    <w:rsid w:val="006E7462"/>
    <w:rsid w:val="006E760F"/>
    <w:rsid w:val="006F0933"/>
    <w:rsid w:val="006F1A01"/>
    <w:rsid w:val="006F28BC"/>
    <w:rsid w:val="006F300C"/>
    <w:rsid w:val="006F52F5"/>
    <w:rsid w:val="006F6260"/>
    <w:rsid w:val="006F7686"/>
    <w:rsid w:val="006F79DD"/>
    <w:rsid w:val="007002F8"/>
    <w:rsid w:val="0070090F"/>
    <w:rsid w:val="007122FD"/>
    <w:rsid w:val="00712FE8"/>
    <w:rsid w:val="00713580"/>
    <w:rsid w:val="007138A4"/>
    <w:rsid w:val="00715D6B"/>
    <w:rsid w:val="007166DE"/>
    <w:rsid w:val="007204C1"/>
    <w:rsid w:val="007218E1"/>
    <w:rsid w:val="00723138"/>
    <w:rsid w:val="00724A1F"/>
    <w:rsid w:val="007317E0"/>
    <w:rsid w:val="0073193D"/>
    <w:rsid w:val="0073487E"/>
    <w:rsid w:val="007373E0"/>
    <w:rsid w:val="00740478"/>
    <w:rsid w:val="00740A8A"/>
    <w:rsid w:val="00742DDD"/>
    <w:rsid w:val="00744921"/>
    <w:rsid w:val="00747D3F"/>
    <w:rsid w:val="00750FE3"/>
    <w:rsid w:val="0075360F"/>
    <w:rsid w:val="0075417E"/>
    <w:rsid w:val="0076020A"/>
    <w:rsid w:val="0076174E"/>
    <w:rsid w:val="00764495"/>
    <w:rsid w:val="00764561"/>
    <w:rsid w:val="00764978"/>
    <w:rsid w:val="00764F37"/>
    <w:rsid w:val="007708C6"/>
    <w:rsid w:val="00771D41"/>
    <w:rsid w:val="007721C4"/>
    <w:rsid w:val="0077280F"/>
    <w:rsid w:val="0077379F"/>
    <w:rsid w:val="00773918"/>
    <w:rsid w:val="007810E0"/>
    <w:rsid w:val="007A2E1B"/>
    <w:rsid w:val="007A345A"/>
    <w:rsid w:val="007B0257"/>
    <w:rsid w:val="007B1A80"/>
    <w:rsid w:val="007B221F"/>
    <w:rsid w:val="007B7EDD"/>
    <w:rsid w:val="007C05A7"/>
    <w:rsid w:val="007C1CDE"/>
    <w:rsid w:val="007C2A32"/>
    <w:rsid w:val="007C3E83"/>
    <w:rsid w:val="007C4028"/>
    <w:rsid w:val="007C6D48"/>
    <w:rsid w:val="007D3717"/>
    <w:rsid w:val="007D54B9"/>
    <w:rsid w:val="007D5FCD"/>
    <w:rsid w:val="007D776B"/>
    <w:rsid w:val="007E01D2"/>
    <w:rsid w:val="007E6DE4"/>
    <w:rsid w:val="007F3D78"/>
    <w:rsid w:val="007F4437"/>
    <w:rsid w:val="007F5695"/>
    <w:rsid w:val="0080242C"/>
    <w:rsid w:val="00802CD8"/>
    <w:rsid w:val="00803448"/>
    <w:rsid w:val="00805018"/>
    <w:rsid w:val="00807B0B"/>
    <w:rsid w:val="008114A2"/>
    <w:rsid w:val="00813ADC"/>
    <w:rsid w:val="008145F2"/>
    <w:rsid w:val="008211C0"/>
    <w:rsid w:val="00823499"/>
    <w:rsid w:val="00823D2F"/>
    <w:rsid w:val="008253C0"/>
    <w:rsid w:val="00825B03"/>
    <w:rsid w:val="00827BEE"/>
    <w:rsid w:val="008316D6"/>
    <w:rsid w:val="00831C58"/>
    <w:rsid w:val="00831E6C"/>
    <w:rsid w:val="0083342E"/>
    <w:rsid w:val="00834EF1"/>
    <w:rsid w:val="008368CB"/>
    <w:rsid w:val="00841AC0"/>
    <w:rsid w:val="00841D91"/>
    <w:rsid w:val="00843715"/>
    <w:rsid w:val="00844552"/>
    <w:rsid w:val="0085243E"/>
    <w:rsid w:val="008526C5"/>
    <w:rsid w:val="00852FB6"/>
    <w:rsid w:val="00852FD1"/>
    <w:rsid w:val="008543F7"/>
    <w:rsid w:val="008554FB"/>
    <w:rsid w:val="00855570"/>
    <w:rsid w:val="00855907"/>
    <w:rsid w:val="00857AC9"/>
    <w:rsid w:val="00857C43"/>
    <w:rsid w:val="008637E6"/>
    <w:rsid w:val="008645AC"/>
    <w:rsid w:val="00865714"/>
    <w:rsid w:val="00866FD9"/>
    <w:rsid w:val="00870C38"/>
    <w:rsid w:val="00876421"/>
    <w:rsid w:val="008815F2"/>
    <w:rsid w:val="008839BB"/>
    <w:rsid w:val="00883E9F"/>
    <w:rsid w:val="00884DD1"/>
    <w:rsid w:val="00885A24"/>
    <w:rsid w:val="00886963"/>
    <w:rsid w:val="008875BA"/>
    <w:rsid w:val="00892D4B"/>
    <w:rsid w:val="008964C1"/>
    <w:rsid w:val="00896A7F"/>
    <w:rsid w:val="0089710F"/>
    <w:rsid w:val="008A0529"/>
    <w:rsid w:val="008A23C5"/>
    <w:rsid w:val="008A3266"/>
    <w:rsid w:val="008A36BA"/>
    <w:rsid w:val="008A46F9"/>
    <w:rsid w:val="008A6027"/>
    <w:rsid w:val="008A626F"/>
    <w:rsid w:val="008A674E"/>
    <w:rsid w:val="008A78C0"/>
    <w:rsid w:val="008A7F84"/>
    <w:rsid w:val="008B0E99"/>
    <w:rsid w:val="008B13C3"/>
    <w:rsid w:val="008B1838"/>
    <w:rsid w:val="008B201B"/>
    <w:rsid w:val="008B3F8D"/>
    <w:rsid w:val="008B739B"/>
    <w:rsid w:val="008B7DE7"/>
    <w:rsid w:val="008C0398"/>
    <w:rsid w:val="008C1BEA"/>
    <w:rsid w:val="008C1BFD"/>
    <w:rsid w:val="008C4609"/>
    <w:rsid w:val="008C4C09"/>
    <w:rsid w:val="008C4EF3"/>
    <w:rsid w:val="008C5A22"/>
    <w:rsid w:val="008C7A92"/>
    <w:rsid w:val="008D2C2A"/>
    <w:rsid w:val="008D30E6"/>
    <w:rsid w:val="008D325A"/>
    <w:rsid w:val="008D3B25"/>
    <w:rsid w:val="008D68C6"/>
    <w:rsid w:val="008D7BDB"/>
    <w:rsid w:val="008E0E66"/>
    <w:rsid w:val="008E23BE"/>
    <w:rsid w:val="008E49CB"/>
    <w:rsid w:val="008E5D6E"/>
    <w:rsid w:val="008E6624"/>
    <w:rsid w:val="008F27E4"/>
    <w:rsid w:val="008F476B"/>
    <w:rsid w:val="008F5A87"/>
    <w:rsid w:val="008F65AF"/>
    <w:rsid w:val="00903942"/>
    <w:rsid w:val="00904443"/>
    <w:rsid w:val="00905A67"/>
    <w:rsid w:val="00907D37"/>
    <w:rsid w:val="00910BDB"/>
    <w:rsid w:val="009132D4"/>
    <w:rsid w:val="00916B40"/>
    <w:rsid w:val="00917402"/>
    <w:rsid w:val="0091798A"/>
    <w:rsid w:val="009208D1"/>
    <w:rsid w:val="00920906"/>
    <w:rsid w:val="0092293B"/>
    <w:rsid w:val="00923C8A"/>
    <w:rsid w:val="00923D4F"/>
    <w:rsid w:val="00923DD0"/>
    <w:rsid w:val="009258F6"/>
    <w:rsid w:val="009263C8"/>
    <w:rsid w:val="009263D6"/>
    <w:rsid w:val="00933EFE"/>
    <w:rsid w:val="00941801"/>
    <w:rsid w:val="00941B6B"/>
    <w:rsid w:val="009429E7"/>
    <w:rsid w:val="00946716"/>
    <w:rsid w:val="009477D9"/>
    <w:rsid w:val="0095007D"/>
    <w:rsid w:val="00950323"/>
    <w:rsid w:val="00951E3D"/>
    <w:rsid w:val="0095251D"/>
    <w:rsid w:val="0096182D"/>
    <w:rsid w:val="00962238"/>
    <w:rsid w:val="00962DFC"/>
    <w:rsid w:val="00964805"/>
    <w:rsid w:val="009665CC"/>
    <w:rsid w:val="00967C6A"/>
    <w:rsid w:val="00970316"/>
    <w:rsid w:val="00970D12"/>
    <w:rsid w:val="0097125F"/>
    <w:rsid w:val="0097257A"/>
    <w:rsid w:val="00975F12"/>
    <w:rsid w:val="00977A96"/>
    <w:rsid w:val="00986333"/>
    <w:rsid w:val="0098705C"/>
    <w:rsid w:val="00987883"/>
    <w:rsid w:val="00992297"/>
    <w:rsid w:val="009945ED"/>
    <w:rsid w:val="00994CD0"/>
    <w:rsid w:val="00995DB3"/>
    <w:rsid w:val="009A0FAD"/>
    <w:rsid w:val="009A569F"/>
    <w:rsid w:val="009A75E4"/>
    <w:rsid w:val="009A7E56"/>
    <w:rsid w:val="009B0579"/>
    <w:rsid w:val="009B0C4A"/>
    <w:rsid w:val="009B0C81"/>
    <w:rsid w:val="009B45C3"/>
    <w:rsid w:val="009C27F0"/>
    <w:rsid w:val="009C4773"/>
    <w:rsid w:val="009C483E"/>
    <w:rsid w:val="009C5916"/>
    <w:rsid w:val="009C7D0F"/>
    <w:rsid w:val="009D2100"/>
    <w:rsid w:val="009D2D81"/>
    <w:rsid w:val="009E12C0"/>
    <w:rsid w:val="009E1F4B"/>
    <w:rsid w:val="009E50C6"/>
    <w:rsid w:val="009E63D4"/>
    <w:rsid w:val="009F222D"/>
    <w:rsid w:val="009F4D40"/>
    <w:rsid w:val="009F5AC5"/>
    <w:rsid w:val="009F619B"/>
    <w:rsid w:val="00A00A18"/>
    <w:rsid w:val="00A01EE5"/>
    <w:rsid w:val="00A026E4"/>
    <w:rsid w:val="00A04D48"/>
    <w:rsid w:val="00A0577E"/>
    <w:rsid w:val="00A0656B"/>
    <w:rsid w:val="00A0677C"/>
    <w:rsid w:val="00A06EEC"/>
    <w:rsid w:val="00A072DD"/>
    <w:rsid w:val="00A11F45"/>
    <w:rsid w:val="00A1531A"/>
    <w:rsid w:val="00A16D1C"/>
    <w:rsid w:val="00A24A93"/>
    <w:rsid w:val="00A27CBC"/>
    <w:rsid w:val="00A303C4"/>
    <w:rsid w:val="00A33350"/>
    <w:rsid w:val="00A35CE6"/>
    <w:rsid w:val="00A35E7B"/>
    <w:rsid w:val="00A36FFE"/>
    <w:rsid w:val="00A434FD"/>
    <w:rsid w:val="00A446DA"/>
    <w:rsid w:val="00A4525C"/>
    <w:rsid w:val="00A45781"/>
    <w:rsid w:val="00A50CBF"/>
    <w:rsid w:val="00A52734"/>
    <w:rsid w:val="00A52FE3"/>
    <w:rsid w:val="00A553B6"/>
    <w:rsid w:val="00A60B6E"/>
    <w:rsid w:val="00A6185F"/>
    <w:rsid w:val="00A61C7F"/>
    <w:rsid w:val="00A626FC"/>
    <w:rsid w:val="00A62B37"/>
    <w:rsid w:val="00A62CC2"/>
    <w:rsid w:val="00A63856"/>
    <w:rsid w:val="00A70884"/>
    <w:rsid w:val="00A710B2"/>
    <w:rsid w:val="00A71777"/>
    <w:rsid w:val="00A71884"/>
    <w:rsid w:val="00A72022"/>
    <w:rsid w:val="00A72999"/>
    <w:rsid w:val="00A73245"/>
    <w:rsid w:val="00A73BBA"/>
    <w:rsid w:val="00A73FD8"/>
    <w:rsid w:val="00A7444E"/>
    <w:rsid w:val="00A751D3"/>
    <w:rsid w:val="00A76F1D"/>
    <w:rsid w:val="00A806C2"/>
    <w:rsid w:val="00A81048"/>
    <w:rsid w:val="00A8129E"/>
    <w:rsid w:val="00A84BA5"/>
    <w:rsid w:val="00A84BF3"/>
    <w:rsid w:val="00A85DCA"/>
    <w:rsid w:val="00A90438"/>
    <w:rsid w:val="00A913E0"/>
    <w:rsid w:val="00A96DA0"/>
    <w:rsid w:val="00AA2818"/>
    <w:rsid w:val="00AA3B72"/>
    <w:rsid w:val="00AA3E43"/>
    <w:rsid w:val="00AA4359"/>
    <w:rsid w:val="00AA543B"/>
    <w:rsid w:val="00AA5ACA"/>
    <w:rsid w:val="00AA61F5"/>
    <w:rsid w:val="00AA6604"/>
    <w:rsid w:val="00AA7065"/>
    <w:rsid w:val="00AA75D5"/>
    <w:rsid w:val="00AA7E0A"/>
    <w:rsid w:val="00AB03FE"/>
    <w:rsid w:val="00AB0B6C"/>
    <w:rsid w:val="00AB2A94"/>
    <w:rsid w:val="00AB3DF0"/>
    <w:rsid w:val="00AB58B2"/>
    <w:rsid w:val="00AB760A"/>
    <w:rsid w:val="00AC4C6A"/>
    <w:rsid w:val="00AC5167"/>
    <w:rsid w:val="00AD0D79"/>
    <w:rsid w:val="00AD0F5C"/>
    <w:rsid w:val="00AD369B"/>
    <w:rsid w:val="00AD48AD"/>
    <w:rsid w:val="00AD6671"/>
    <w:rsid w:val="00AD6890"/>
    <w:rsid w:val="00AD7B0D"/>
    <w:rsid w:val="00AD7E86"/>
    <w:rsid w:val="00AE1225"/>
    <w:rsid w:val="00AE1497"/>
    <w:rsid w:val="00AE20DF"/>
    <w:rsid w:val="00AE29A7"/>
    <w:rsid w:val="00AF246E"/>
    <w:rsid w:val="00AF479D"/>
    <w:rsid w:val="00AF504A"/>
    <w:rsid w:val="00AF635B"/>
    <w:rsid w:val="00AF75C8"/>
    <w:rsid w:val="00AF7695"/>
    <w:rsid w:val="00B00C54"/>
    <w:rsid w:val="00B00EE9"/>
    <w:rsid w:val="00B030E6"/>
    <w:rsid w:val="00B059FD"/>
    <w:rsid w:val="00B07332"/>
    <w:rsid w:val="00B20E51"/>
    <w:rsid w:val="00B219F9"/>
    <w:rsid w:val="00B23528"/>
    <w:rsid w:val="00B27C68"/>
    <w:rsid w:val="00B31DEE"/>
    <w:rsid w:val="00B346F4"/>
    <w:rsid w:val="00B34DD8"/>
    <w:rsid w:val="00B36E5C"/>
    <w:rsid w:val="00B42710"/>
    <w:rsid w:val="00B43721"/>
    <w:rsid w:val="00B44194"/>
    <w:rsid w:val="00B47060"/>
    <w:rsid w:val="00B47693"/>
    <w:rsid w:val="00B50CD0"/>
    <w:rsid w:val="00B57895"/>
    <w:rsid w:val="00B57992"/>
    <w:rsid w:val="00B608DD"/>
    <w:rsid w:val="00B60E31"/>
    <w:rsid w:val="00B63ADF"/>
    <w:rsid w:val="00B70CD3"/>
    <w:rsid w:val="00B7298C"/>
    <w:rsid w:val="00B73A04"/>
    <w:rsid w:val="00B7429A"/>
    <w:rsid w:val="00B74631"/>
    <w:rsid w:val="00B74646"/>
    <w:rsid w:val="00B75C45"/>
    <w:rsid w:val="00B76664"/>
    <w:rsid w:val="00B76838"/>
    <w:rsid w:val="00B8095D"/>
    <w:rsid w:val="00B81622"/>
    <w:rsid w:val="00B831B3"/>
    <w:rsid w:val="00B8386D"/>
    <w:rsid w:val="00B8604A"/>
    <w:rsid w:val="00B861FE"/>
    <w:rsid w:val="00B924C4"/>
    <w:rsid w:val="00B92CC7"/>
    <w:rsid w:val="00B92CE9"/>
    <w:rsid w:val="00B9389A"/>
    <w:rsid w:val="00B955BA"/>
    <w:rsid w:val="00B96A56"/>
    <w:rsid w:val="00B96F7B"/>
    <w:rsid w:val="00BA1F2C"/>
    <w:rsid w:val="00BA2F0B"/>
    <w:rsid w:val="00BA32AD"/>
    <w:rsid w:val="00BA4771"/>
    <w:rsid w:val="00BA4AF0"/>
    <w:rsid w:val="00BA4E68"/>
    <w:rsid w:val="00BA5289"/>
    <w:rsid w:val="00BA6421"/>
    <w:rsid w:val="00BB017B"/>
    <w:rsid w:val="00BB01AD"/>
    <w:rsid w:val="00BB1FB2"/>
    <w:rsid w:val="00BB34F9"/>
    <w:rsid w:val="00BC126B"/>
    <w:rsid w:val="00BC32A7"/>
    <w:rsid w:val="00BC49BB"/>
    <w:rsid w:val="00BD4970"/>
    <w:rsid w:val="00BD4E67"/>
    <w:rsid w:val="00BD6E84"/>
    <w:rsid w:val="00BD750D"/>
    <w:rsid w:val="00BE0058"/>
    <w:rsid w:val="00BE0862"/>
    <w:rsid w:val="00BE148F"/>
    <w:rsid w:val="00BE2C40"/>
    <w:rsid w:val="00BE3190"/>
    <w:rsid w:val="00BE3905"/>
    <w:rsid w:val="00BE429F"/>
    <w:rsid w:val="00BE5AA8"/>
    <w:rsid w:val="00BE70CF"/>
    <w:rsid w:val="00BF358E"/>
    <w:rsid w:val="00BF5F1D"/>
    <w:rsid w:val="00BF689F"/>
    <w:rsid w:val="00C008DD"/>
    <w:rsid w:val="00C02697"/>
    <w:rsid w:val="00C02E8C"/>
    <w:rsid w:val="00C02F63"/>
    <w:rsid w:val="00C037A6"/>
    <w:rsid w:val="00C03F8A"/>
    <w:rsid w:val="00C05D24"/>
    <w:rsid w:val="00C1004C"/>
    <w:rsid w:val="00C110DF"/>
    <w:rsid w:val="00C13F6C"/>
    <w:rsid w:val="00C17391"/>
    <w:rsid w:val="00C200D7"/>
    <w:rsid w:val="00C217A0"/>
    <w:rsid w:val="00C24A2E"/>
    <w:rsid w:val="00C25044"/>
    <w:rsid w:val="00C25CFC"/>
    <w:rsid w:val="00C31029"/>
    <w:rsid w:val="00C32FE1"/>
    <w:rsid w:val="00C36956"/>
    <w:rsid w:val="00C40577"/>
    <w:rsid w:val="00C405CB"/>
    <w:rsid w:val="00C43658"/>
    <w:rsid w:val="00C43770"/>
    <w:rsid w:val="00C4502F"/>
    <w:rsid w:val="00C46047"/>
    <w:rsid w:val="00C50F78"/>
    <w:rsid w:val="00C52B1A"/>
    <w:rsid w:val="00C540E0"/>
    <w:rsid w:val="00C55ABE"/>
    <w:rsid w:val="00C57D84"/>
    <w:rsid w:val="00C639B5"/>
    <w:rsid w:val="00C64CDB"/>
    <w:rsid w:val="00C666BF"/>
    <w:rsid w:val="00C673BD"/>
    <w:rsid w:val="00C70AB8"/>
    <w:rsid w:val="00C71472"/>
    <w:rsid w:val="00C7337F"/>
    <w:rsid w:val="00C75C1A"/>
    <w:rsid w:val="00C77FF1"/>
    <w:rsid w:val="00C84657"/>
    <w:rsid w:val="00C86880"/>
    <w:rsid w:val="00C86E98"/>
    <w:rsid w:val="00C90543"/>
    <w:rsid w:val="00C935B4"/>
    <w:rsid w:val="00C9386D"/>
    <w:rsid w:val="00C9729E"/>
    <w:rsid w:val="00CA06E7"/>
    <w:rsid w:val="00CA3160"/>
    <w:rsid w:val="00CA3C3D"/>
    <w:rsid w:val="00CA3CCA"/>
    <w:rsid w:val="00CB0024"/>
    <w:rsid w:val="00CB3F3F"/>
    <w:rsid w:val="00CB5B17"/>
    <w:rsid w:val="00CC33AB"/>
    <w:rsid w:val="00CC48D0"/>
    <w:rsid w:val="00CC5289"/>
    <w:rsid w:val="00CC56E7"/>
    <w:rsid w:val="00CC6F6E"/>
    <w:rsid w:val="00CD09E7"/>
    <w:rsid w:val="00CD12D8"/>
    <w:rsid w:val="00CD2F98"/>
    <w:rsid w:val="00CD33F3"/>
    <w:rsid w:val="00CD3AD6"/>
    <w:rsid w:val="00CE1F09"/>
    <w:rsid w:val="00CE25C5"/>
    <w:rsid w:val="00CE3711"/>
    <w:rsid w:val="00CE4186"/>
    <w:rsid w:val="00CF2087"/>
    <w:rsid w:val="00CF227B"/>
    <w:rsid w:val="00CF2D53"/>
    <w:rsid w:val="00CF3432"/>
    <w:rsid w:val="00CF46B5"/>
    <w:rsid w:val="00CF55D5"/>
    <w:rsid w:val="00CF5871"/>
    <w:rsid w:val="00D00583"/>
    <w:rsid w:val="00D009DD"/>
    <w:rsid w:val="00D0292A"/>
    <w:rsid w:val="00D031EB"/>
    <w:rsid w:val="00D07D46"/>
    <w:rsid w:val="00D108D2"/>
    <w:rsid w:val="00D12835"/>
    <w:rsid w:val="00D130EB"/>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124B"/>
    <w:rsid w:val="00D427F2"/>
    <w:rsid w:val="00D42CCC"/>
    <w:rsid w:val="00D43E68"/>
    <w:rsid w:val="00D443FB"/>
    <w:rsid w:val="00D45042"/>
    <w:rsid w:val="00D45F47"/>
    <w:rsid w:val="00D47FCB"/>
    <w:rsid w:val="00D50FFB"/>
    <w:rsid w:val="00D52EC6"/>
    <w:rsid w:val="00D54453"/>
    <w:rsid w:val="00D54AD0"/>
    <w:rsid w:val="00D556BF"/>
    <w:rsid w:val="00D60710"/>
    <w:rsid w:val="00D61798"/>
    <w:rsid w:val="00D62CB1"/>
    <w:rsid w:val="00D66F7F"/>
    <w:rsid w:val="00D67634"/>
    <w:rsid w:val="00D71F81"/>
    <w:rsid w:val="00D726F9"/>
    <w:rsid w:val="00D731D5"/>
    <w:rsid w:val="00D753F8"/>
    <w:rsid w:val="00D756A9"/>
    <w:rsid w:val="00D769E1"/>
    <w:rsid w:val="00D76AAD"/>
    <w:rsid w:val="00D77944"/>
    <w:rsid w:val="00D81F8C"/>
    <w:rsid w:val="00D84579"/>
    <w:rsid w:val="00D859D5"/>
    <w:rsid w:val="00D85C5E"/>
    <w:rsid w:val="00D875E6"/>
    <w:rsid w:val="00D9179B"/>
    <w:rsid w:val="00D91E89"/>
    <w:rsid w:val="00D926DE"/>
    <w:rsid w:val="00D936F8"/>
    <w:rsid w:val="00D94D4A"/>
    <w:rsid w:val="00D97724"/>
    <w:rsid w:val="00DA17FB"/>
    <w:rsid w:val="00DA2027"/>
    <w:rsid w:val="00DA34C6"/>
    <w:rsid w:val="00DA469D"/>
    <w:rsid w:val="00DB12A6"/>
    <w:rsid w:val="00DB12D6"/>
    <w:rsid w:val="00DB1A8E"/>
    <w:rsid w:val="00DB2818"/>
    <w:rsid w:val="00DB50D0"/>
    <w:rsid w:val="00DB5D05"/>
    <w:rsid w:val="00DB6A18"/>
    <w:rsid w:val="00DC2A33"/>
    <w:rsid w:val="00DC3ABD"/>
    <w:rsid w:val="00DC5C27"/>
    <w:rsid w:val="00DC6F52"/>
    <w:rsid w:val="00DC74C5"/>
    <w:rsid w:val="00DD0C90"/>
    <w:rsid w:val="00DD491C"/>
    <w:rsid w:val="00DD6057"/>
    <w:rsid w:val="00DE03E4"/>
    <w:rsid w:val="00DE20EE"/>
    <w:rsid w:val="00DE2591"/>
    <w:rsid w:val="00DE3CE2"/>
    <w:rsid w:val="00DE4754"/>
    <w:rsid w:val="00DE49F7"/>
    <w:rsid w:val="00DE5AD0"/>
    <w:rsid w:val="00DE6920"/>
    <w:rsid w:val="00DF05E9"/>
    <w:rsid w:val="00DF1D1A"/>
    <w:rsid w:val="00DF334B"/>
    <w:rsid w:val="00E01E6C"/>
    <w:rsid w:val="00E02DA9"/>
    <w:rsid w:val="00E03B22"/>
    <w:rsid w:val="00E03C4C"/>
    <w:rsid w:val="00E03D59"/>
    <w:rsid w:val="00E04C1F"/>
    <w:rsid w:val="00E05DA2"/>
    <w:rsid w:val="00E0700B"/>
    <w:rsid w:val="00E1084C"/>
    <w:rsid w:val="00E11510"/>
    <w:rsid w:val="00E14EB9"/>
    <w:rsid w:val="00E1723C"/>
    <w:rsid w:val="00E2021E"/>
    <w:rsid w:val="00E2162E"/>
    <w:rsid w:val="00E21A15"/>
    <w:rsid w:val="00E27BC2"/>
    <w:rsid w:val="00E311CA"/>
    <w:rsid w:val="00E3265B"/>
    <w:rsid w:val="00E330F9"/>
    <w:rsid w:val="00E34747"/>
    <w:rsid w:val="00E3579F"/>
    <w:rsid w:val="00E37814"/>
    <w:rsid w:val="00E415C5"/>
    <w:rsid w:val="00E44F9D"/>
    <w:rsid w:val="00E53B98"/>
    <w:rsid w:val="00E56D5B"/>
    <w:rsid w:val="00E61005"/>
    <w:rsid w:val="00E622CA"/>
    <w:rsid w:val="00E64CC6"/>
    <w:rsid w:val="00E718B3"/>
    <w:rsid w:val="00E71B2D"/>
    <w:rsid w:val="00E74B97"/>
    <w:rsid w:val="00E76712"/>
    <w:rsid w:val="00E768A0"/>
    <w:rsid w:val="00E8091B"/>
    <w:rsid w:val="00E8200C"/>
    <w:rsid w:val="00E84361"/>
    <w:rsid w:val="00E84A0C"/>
    <w:rsid w:val="00E8586B"/>
    <w:rsid w:val="00E862DE"/>
    <w:rsid w:val="00E865F4"/>
    <w:rsid w:val="00E86FF7"/>
    <w:rsid w:val="00E903EF"/>
    <w:rsid w:val="00E90438"/>
    <w:rsid w:val="00E90E54"/>
    <w:rsid w:val="00E91058"/>
    <w:rsid w:val="00E92146"/>
    <w:rsid w:val="00E9417F"/>
    <w:rsid w:val="00E94DE0"/>
    <w:rsid w:val="00EA020B"/>
    <w:rsid w:val="00EA0B7F"/>
    <w:rsid w:val="00EA0F0D"/>
    <w:rsid w:val="00EA228C"/>
    <w:rsid w:val="00EA236B"/>
    <w:rsid w:val="00EA3753"/>
    <w:rsid w:val="00EA5B6D"/>
    <w:rsid w:val="00EA7776"/>
    <w:rsid w:val="00EB2899"/>
    <w:rsid w:val="00EB330F"/>
    <w:rsid w:val="00EB7229"/>
    <w:rsid w:val="00EC15D3"/>
    <w:rsid w:val="00EC1ACB"/>
    <w:rsid w:val="00EC2D62"/>
    <w:rsid w:val="00EC3F88"/>
    <w:rsid w:val="00EC60F9"/>
    <w:rsid w:val="00ED004C"/>
    <w:rsid w:val="00ED01D0"/>
    <w:rsid w:val="00ED1CBB"/>
    <w:rsid w:val="00ED2CB5"/>
    <w:rsid w:val="00ED2E6F"/>
    <w:rsid w:val="00ED4220"/>
    <w:rsid w:val="00ED4E2F"/>
    <w:rsid w:val="00ED6CF7"/>
    <w:rsid w:val="00ED7DB3"/>
    <w:rsid w:val="00ED7E5B"/>
    <w:rsid w:val="00EE0568"/>
    <w:rsid w:val="00EE05FC"/>
    <w:rsid w:val="00EE1189"/>
    <w:rsid w:val="00EE5251"/>
    <w:rsid w:val="00EE528D"/>
    <w:rsid w:val="00EE6C33"/>
    <w:rsid w:val="00EE6DB8"/>
    <w:rsid w:val="00EE70FE"/>
    <w:rsid w:val="00EF00A4"/>
    <w:rsid w:val="00EF0E85"/>
    <w:rsid w:val="00EF2B6D"/>
    <w:rsid w:val="00EF302F"/>
    <w:rsid w:val="00EF374E"/>
    <w:rsid w:val="00EF540C"/>
    <w:rsid w:val="00F00755"/>
    <w:rsid w:val="00F00938"/>
    <w:rsid w:val="00F00BEB"/>
    <w:rsid w:val="00F02015"/>
    <w:rsid w:val="00F05B87"/>
    <w:rsid w:val="00F06B67"/>
    <w:rsid w:val="00F074DB"/>
    <w:rsid w:val="00F10477"/>
    <w:rsid w:val="00F10AFC"/>
    <w:rsid w:val="00F13540"/>
    <w:rsid w:val="00F15F78"/>
    <w:rsid w:val="00F16ADF"/>
    <w:rsid w:val="00F17644"/>
    <w:rsid w:val="00F20617"/>
    <w:rsid w:val="00F21E2E"/>
    <w:rsid w:val="00F2326F"/>
    <w:rsid w:val="00F2576A"/>
    <w:rsid w:val="00F25800"/>
    <w:rsid w:val="00F26E9F"/>
    <w:rsid w:val="00F27D53"/>
    <w:rsid w:val="00F31282"/>
    <w:rsid w:val="00F314B7"/>
    <w:rsid w:val="00F31F09"/>
    <w:rsid w:val="00F322A5"/>
    <w:rsid w:val="00F330D9"/>
    <w:rsid w:val="00F34E9E"/>
    <w:rsid w:val="00F34EBF"/>
    <w:rsid w:val="00F361A3"/>
    <w:rsid w:val="00F36F17"/>
    <w:rsid w:val="00F376D9"/>
    <w:rsid w:val="00F37CA9"/>
    <w:rsid w:val="00F43131"/>
    <w:rsid w:val="00F4461F"/>
    <w:rsid w:val="00F46B63"/>
    <w:rsid w:val="00F529E5"/>
    <w:rsid w:val="00F52E69"/>
    <w:rsid w:val="00F53292"/>
    <w:rsid w:val="00F5440A"/>
    <w:rsid w:val="00F544EB"/>
    <w:rsid w:val="00F54627"/>
    <w:rsid w:val="00F60147"/>
    <w:rsid w:val="00F625C4"/>
    <w:rsid w:val="00F6326B"/>
    <w:rsid w:val="00F64B24"/>
    <w:rsid w:val="00F66363"/>
    <w:rsid w:val="00F66E55"/>
    <w:rsid w:val="00F66FE5"/>
    <w:rsid w:val="00F7390D"/>
    <w:rsid w:val="00F73ABB"/>
    <w:rsid w:val="00F74311"/>
    <w:rsid w:val="00F75986"/>
    <w:rsid w:val="00F7621D"/>
    <w:rsid w:val="00F76B2A"/>
    <w:rsid w:val="00F80228"/>
    <w:rsid w:val="00F805FB"/>
    <w:rsid w:val="00F80C5C"/>
    <w:rsid w:val="00F856E5"/>
    <w:rsid w:val="00F86BCE"/>
    <w:rsid w:val="00F9237B"/>
    <w:rsid w:val="00F94E59"/>
    <w:rsid w:val="00FA2510"/>
    <w:rsid w:val="00FA30F4"/>
    <w:rsid w:val="00FA379D"/>
    <w:rsid w:val="00FA3C18"/>
    <w:rsid w:val="00FA72F5"/>
    <w:rsid w:val="00FB1AFD"/>
    <w:rsid w:val="00FB3BA3"/>
    <w:rsid w:val="00FB3F68"/>
    <w:rsid w:val="00FB45B2"/>
    <w:rsid w:val="00FC1DD3"/>
    <w:rsid w:val="00FC4147"/>
    <w:rsid w:val="00FC4A76"/>
    <w:rsid w:val="00FC5812"/>
    <w:rsid w:val="00FC60A5"/>
    <w:rsid w:val="00FC78A4"/>
    <w:rsid w:val="00FD1F72"/>
    <w:rsid w:val="00FD2B7F"/>
    <w:rsid w:val="00FD3E77"/>
    <w:rsid w:val="00FD71AB"/>
    <w:rsid w:val="00FE080D"/>
    <w:rsid w:val="00FE0A61"/>
    <w:rsid w:val="00FE20AC"/>
    <w:rsid w:val="00FE20B3"/>
    <w:rsid w:val="00FE5D7F"/>
    <w:rsid w:val="00FF766E"/>
    <w:rsid w:val="233139A1"/>
    <w:rsid w:val="259D70CC"/>
    <w:rsid w:val="52862819"/>
    <w:rsid w:val="57A26D7F"/>
    <w:rsid w:val="72C21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AAB056"/>
  <w14:defaultImageDpi w14:val="32767"/>
  <w15:docId w15:val="{73D73E97-C48D-432E-9028-FA9F8071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iPriority="0" w:unhideWhenUsed="1" w:qFormat="1"/>
    <w:lsdException w:name="head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iPriority="0" w:unhideWhenUsed="1" w:qFormat="1"/>
    <w:lsdException w:name="line number" w:semiHidden="1" w:unhideWhenUsed="1"/>
    <w:lsdException w:name="page number" w:uiPriority="0" w:qFormat="1"/>
    <w:lsdException w:name="endnote reference" w:uiPriority="0"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unhideWhenUsed="1"/>
    <w:lsdException w:name="Strong" w:uiPriority="22"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宋体" w:hAnsi="宋体"/>
      <w:kern w:val="2"/>
      <w:sz w:val="24"/>
      <w:szCs w:val="22"/>
    </w:rPr>
  </w:style>
  <w:style w:type="paragraph" w:styleId="1">
    <w:name w:val="heading 1"/>
    <w:basedOn w:val="a"/>
    <w:next w:val="a"/>
    <w:link w:val="10"/>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sz w:val="20"/>
      <w:szCs w:val="20"/>
    </w:rPr>
  </w:style>
  <w:style w:type="paragraph" w:styleId="a4">
    <w:name w:val="Document Map"/>
    <w:basedOn w:val="a"/>
    <w:link w:val="11"/>
    <w:unhideWhenUsed/>
    <w:qFormat/>
    <w:pPr>
      <w:spacing w:line="360" w:lineRule="auto"/>
      <w:textAlignment w:val="center"/>
    </w:pPr>
    <w:rPr>
      <w:rFonts w:hAnsi="Times New Roman"/>
      <w:sz w:val="18"/>
      <w:szCs w:val="18"/>
    </w:rPr>
  </w:style>
  <w:style w:type="paragraph" w:styleId="a5">
    <w:name w:val="annotation text"/>
    <w:basedOn w:val="a"/>
    <w:link w:val="a6"/>
    <w:semiHidden/>
    <w:unhideWhenUsed/>
    <w:qFormat/>
    <w:pPr>
      <w:jc w:val="left"/>
      <w:textAlignment w:val="center"/>
    </w:pPr>
    <w:rPr>
      <w:rFonts w:asciiTheme="minorHAnsi" w:eastAsiaTheme="minorEastAsia" w:hAnsiTheme="minorHAnsi" w:cstheme="minorBidi"/>
      <w:sz w:val="21"/>
    </w:rPr>
  </w:style>
  <w:style w:type="paragraph" w:styleId="a7">
    <w:name w:val="Body Text"/>
    <w:basedOn w:val="a"/>
    <w:link w:val="a8"/>
    <w:qFormat/>
    <w:pPr>
      <w:spacing w:after="120"/>
    </w:pPr>
    <w:rPr>
      <w:rFonts w:ascii="Calibri" w:hAnsi="Calibri"/>
      <w:kern w:val="0"/>
      <w:sz w:val="20"/>
      <w:szCs w:val="20"/>
    </w:rPr>
  </w:style>
  <w:style w:type="paragraph" w:styleId="a9">
    <w:name w:val="Body Text Indent"/>
    <w:basedOn w:val="a"/>
    <w:link w:val="aa"/>
    <w:qFormat/>
    <w:pPr>
      <w:snapToGrid w:val="0"/>
      <w:spacing w:after="120" w:line="366" w:lineRule="atLeast"/>
      <w:ind w:leftChars="200" w:left="420" w:firstLineChars="200" w:firstLine="200"/>
    </w:pPr>
    <w:rPr>
      <w:rFonts w:ascii="Times New Roman" w:eastAsia="方正书宋简体" w:hAnsi="Times New Roman"/>
      <w:sz w:val="20"/>
      <w:szCs w:val="24"/>
    </w:rPr>
  </w:style>
  <w:style w:type="paragraph" w:styleId="ab">
    <w:name w:val="Date"/>
    <w:basedOn w:val="a"/>
    <w:next w:val="a"/>
    <w:link w:val="ac"/>
    <w:unhideWhenUsed/>
    <w:pPr>
      <w:ind w:leftChars="2500" w:left="100"/>
    </w:pPr>
  </w:style>
  <w:style w:type="paragraph" w:styleId="ad">
    <w:name w:val="endnote text"/>
    <w:basedOn w:val="a"/>
    <w:link w:val="12"/>
    <w:unhideWhenUsed/>
    <w:qFormat/>
    <w:pPr>
      <w:snapToGrid w:val="0"/>
      <w:jc w:val="left"/>
    </w:pPr>
  </w:style>
  <w:style w:type="paragraph" w:styleId="ae">
    <w:name w:val="Balloon Text"/>
    <w:basedOn w:val="a"/>
    <w:link w:val="af"/>
    <w:uiPriority w:val="99"/>
    <w:unhideWhenUsed/>
    <w:qFormat/>
    <w:rPr>
      <w:sz w:val="18"/>
      <w:szCs w:val="18"/>
    </w:rPr>
  </w:style>
  <w:style w:type="paragraph" w:styleId="af0">
    <w:name w:val="footer"/>
    <w:basedOn w:val="a"/>
    <w:link w:val="af1"/>
    <w:uiPriority w:val="99"/>
    <w:pPr>
      <w:tabs>
        <w:tab w:val="center" w:pos="4153"/>
        <w:tab w:val="right" w:pos="8306"/>
      </w:tabs>
      <w:snapToGrid w:val="0"/>
      <w:jc w:val="left"/>
    </w:pPr>
    <w:rPr>
      <w:rFonts w:ascii="Times New Roman" w:eastAsia="PMingLiU" w:hAnsi="Times New Roman"/>
      <w:sz w:val="20"/>
      <w:szCs w:val="20"/>
      <w:lang w:eastAsia="zh-TW"/>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
    <w:next w:val="a"/>
    <w:link w:val="13"/>
    <w:uiPriority w:val="11"/>
    <w:qFormat/>
    <w:pPr>
      <w:spacing w:beforeLines="100" w:before="100" w:afterLines="100" w:after="100" w:line="360" w:lineRule="auto"/>
      <w:jc w:val="center"/>
      <w:textAlignment w:val="center"/>
      <w:outlineLvl w:val="1"/>
    </w:pPr>
    <w:rPr>
      <w:rFonts w:ascii="Cambria" w:hAnsi="Cambria"/>
      <w:b/>
      <w:bCs/>
      <w:kern w:val="28"/>
      <w:szCs w:val="32"/>
    </w:rPr>
  </w:style>
  <w:style w:type="paragraph" w:styleId="af5">
    <w:name w:val="footnote text"/>
    <w:basedOn w:val="a"/>
    <w:link w:val="14"/>
    <w:uiPriority w:val="99"/>
    <w:qFormat/>
    <w:pPr>
      <w:snapToGrid w:val="0"/>
      <w:jc w:val="left"/>
    </w:pPr>
    <w:rPr>
      <w:rFonts w:ascii="Times New Roman" w:eastAsia="PMingLiU" w:hAnsi="Times New Roman"/>
      <w:sz w:val="20"/>
      <w:szCs w:val="20"/>
      <w:lang w:eastAsia="zh-TW"/>
    </w:rPr>
  </w:style>
  <w:style w:type="paragraph" w:styleId="af6">
    <w:name w:val="Normal (Web)"/>
    <w:basedOn w:val="a"/>
    <w:uiPriority w:val="99"/>
    <w:unhideWhenUsed/>
    <w:pPr>
      <w:widowControl/>
      <w:spacing w:before="100" w:beforeAutospacing="1" w:after="100" w:afterAutospacing="1"/>
      <w:jc w:val="left"/>
    </w:pPr>
    <w:rPr>
      <w:rFonts w:cs="宋体"/>
      <w:kern w:val="0"/>
      <w:szCs w:val="24"/>
    </w:rPr>
  </w:style>
  <w:style w:type="paragraph" w:styleId="af7">
    <w:name w:val="Title"/>
    <w:basedOn w:val="a"/>
    <w:next w:val="a"/>
    <w:link w:val="af8"/>
    <w:uiPriority w:val="10"/>
    <w:qFormat/>
    <w:pPr>
      <w:wordWrap w:val="0"/>
      <w:spacing w:before="240" w:after="60"/>
      <w:jc w:val="center"/>
      <w:outlineLvl w:val="0"/>
    </w:pPr>
    <w:rPr>
      <w:rFonts w:asciiTheme="majorHAnsi" w:hAnsiTheme="majorHAnsi" w:cstheme="majorBidi"/>
      <w:b/>
      <w:bCs/>
      <w:sz w:val="32"/>
      <w:szCs w:val="32"/>
    </w:rPr>
  </w:style>
  <w:style w:type="paragraph" w:styleId="af9">
    <w:name w:val="annotation subject"/>
    <w:basedOn w:val="a5"/>
    <w:next w:val="a5"/>
    <w:link w:val="afa"/>
    <w:semiHidden/>
    <w:unhideWhenUsed/>
    <w:rPr>
      <w:b/>
      <w:bCs/>
    </w:rPr>
  </w:style>
  <w:style w:type="table" w:styleId="afb">
    <w:name w:val="Table Grid"/>
    <w:basedOn w:val="a1"/>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rPr>
  </w:style>
  <w:style w:type="character" w:styleId="afd">
    <w:name w:val="endnote reference"/>
    <w:basedOn w:val="a0"/>
    <w:unhideWhenUsed/>
    <w:qFormat/>
    <w:rPr>
      <w:vertAlign w:val="superscript"/>
    </w:rPr>
  </w:style>
  <w:style w:type="character" w:styleId="afe">
    <w:name w:val="page number"/>
    <w:qFormat/>
  </w:style>
  <w:style w:type="character" w:styleId="aff">
    <w:name w:val="FollowedHyperlink"/>
    <w:basedOn w:val="a0"/>
    <w:unhideWhenUsed/>
    <w:rPr>
      <w:color w:val="954F72" w:themeColor="followedHyperlink"/>
      <w:u w:val="single"/>
    </w:rPr>
  </w:style>
  <w:style w:type="character" w:styleId="aff0">
    <w:name w:val="Emphasis"/>
    <w:uiPriority w:val="20"/>
    <w:qFormat/>
    <w:rPr>
      <w:i/>
      <w:iCs/>
    </w:rPr>
  </w:style>
  <w:style w:type="character" w:styleId="aff1">
    <w:name w:val="Hyperlink"/>
    <w:uiPriority w:val="99"/>
    <w:unhideWhenUsed/>
    <w:qFormat/>
    <w:rPr>
      <w:color w:val="0563C1"/>
      <w:u w:val="single"/>
    </w:rPr>
  </w:style>
  <w:style w:type="character" w:styleId="aff2">
    <w:name w:val="annotation reference"/>
    <w:basedOn w:val="a0"/>
    <w:semiHidden/>
    <w:unhideWhenUsed/>
    <w:qFormat/>
    <w:rPr>
      <w:sz w:val="21"/>
      <w:szCs w:val="21"/>
    </w:rPr>
  </w:style>
  <w:style w:type="character" w:styleId="aff3">
    <w:name w:val="footnote reference"/>
    <w:uiPriority w:val="99"/>
    <w:qFormat/>
    <w:rPr>
      <w:vertAlign w:val="superscript"/>
    </w:rPr>
  </w:style>
  <w:style w:type="paragraph" w:customStyle="1" w:styleId="aff4">
    <w:name w:val="網文引用"/>
    <w:basedOn w:val="a"/>
    <w:link w:val="Char"/>
    <w:qFormat/>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character" w:customStyle="1" w:styleId="Char0">
    <w:name w:val="脚注文本 Char"/>
    <w:qFormat/>
    <w:rPr>
      <w:rFonts w:ascii="宋体"/>
      <w:kern w:val="2"/>
      <w:sz w:val="18"/>
      <w:szCs w:val="18"/>
    </w:rPr>
  </w:style>
  <w:style w:type="character" w:customStyle="1" w:styleId="af1">
    <w:name w:val="页脚 字符"/>
    <w:link w:val="af0"/>
    <w:uiPriority w:val="99"/>
    <w:qFormat/>
    <w:rPr>
      <w:rFonts w:ascii="Times New Roman" w:eastAsia="PMingLiU" w:hAnsi="Times New Roman"/>
      <w:kern w:val="2"/>
      <w:lang w:eastAsia="zh-TW"/>
    </w:rPr>
  </w:style>
  <w:style w:type="paragraph" w:customStyle="1" w:styleId="aff5">
    <w:name w:val="網文正文頂格"/>
    <w:basedOn w:val="aff6"/>
    <w:qFormat/>
    <w:pPr>
      <w:ind w:firstLineChars="0" w:firstLine="0"/>
      <w:jc w:val="left"/>
    </w:pPr>
  </w:style>
  <w:style w:type="paragraph" w:customStyle="1" w:styleId="aff6">
    <w:name w:val="網文正文"/>
    <w:basedOn w:val="a"/>
    <w:link w:val="Char1"/>
    <w:qFormat/>
    <w:pPr>
      <w:spacing w:line="480" w:lineRule="auto"/>
      <w:ind w:firstLineChars="200" w:firstLine="200"/>
      <w:textAlignment w:val="center"/>
    </w:pPr>
    <w:rPr>
      <w:sz w:val="28"/>
    </w:rPr>
  </w:style>
  <w:style w:type="character" w:customStyle="1" w:styleId="14">
    <w:name w:val="脚注文本 字符1"/>
    <w:link w:val="af5"/>
    <w:semiHidden/>
    <w:qFormat/>
    <w:locked/>
    <w:rPr>
      <w:rFonts w:ascii="Times New Roman" w:eastAsia="PMingLiU" w:hAnsi="Times New Roman"/>
      <w:kern w:val="2"/>
      <w:lang w:eastAsia="zh-TW"/>
    </w:rPr>
  </w:style>
  <w:style w:type="paragraph" w:customStyle="1" w:styleId="aff7">
    <w:name w:val="網文標題"/>
    <w:basedOn w:val="a"/>
    <w:link w:val="Char2"/>
    <w:qFormat/>
    <w:pPr>
      <w:jc w:val="center"/>
    </w:pPr>
    <w:rPr>
      <w:rFonts w:ascii="黑体"/>
      <w:b/>
      <w:sz w:val="32"/>
      <w:szCs w:val="44"/>
    </w:rPr>
  </w:style>
  <w:style w:type="character" w:customStyle="1" w:styleId="Char2">
    <w:name w:val="網文標題 Char"/>
    <w:link w:val="aff7"/>
    <w:qFormat/>
    <w:rPr>
      <w:rFonts w:ascii="黑体"/>
      <w:b/>
      <w:kern w:val="2"/>
      <w:sz w:val="32"/>
      <w:szCs w:val="44"/>
    </w:rPr>
  </w:style>
  <w:style w:type="paragraph" w:customStyle="1" w:styleId="aff8">
    <w:name w:val="網文作者"/>
    <w:basedOn w:val="a"/>
    <w:link w:val="Char3"/>
    <w:qFormat/>
    <w:pPr>
      <w:jc w:val="center"/>
    </w:pPr>
    <w:rPr>
      <w:b/>
      <w:sz w:val="28"/>
      <w:lang w:eastAsia="zh-TW"/>
    </w:rPr>
  </w:style>
  <w:style w:type="character" w:customStyle="1" w:styleId="Char3">
    <w:name w:val="網文作者 Char"/>
    <w:link w:val="aff8"/>
    <w:qFormat/>
    <w:rPr>
      <w:rFonts w:ascii="宋体" w:hAnsi="宋体"/>
      <w:b/>
      <w:kern w:val="2"/>
      <w:sz w:val="28"/>
      <w:szCs w:val="22"/>
      <w:lang w:eastAsia="zh-TW"/>
    </w:rPr>
  </w:style>
  <w:style w:type="character" w:customStyle="1" w:styleId="Char1">
    <w:name w:val="網文正文 Char"/>
    <w:link w:val="aff6"/>
    <w:qFormat/>
    <w:rPr>
      <w:rFonts w:ascii="宋体" w:hAnsi="宋体"/>
      <w:kern w:val="2"/>
      <w:sz w:val="28"/>
      <w:szCs w:val="22"/>
    </w:rPr>
  </w:style>
  <w:style w:type="character" w:customStyle="1" w:styleId="Char">
    <w:name w:val="網文引用 Char"/>
    <w:link w:val="aff4"/>
    <w:qFormat/>
    <w:rPr>
      <w:rFonts w:ascii="楷体" w:eastAsia="楷体" w:hAnsi="楷体"/>
      <w:spacing w:val="4"/>
      <w:sz w:val="24"/>
      <w:szCs w:val="22"/>
      <w:lang w:eastAsia="zh-TW"/>
    </w:rPr>
  </w:style>
  <w:style w:type="character" w:customStyle="1" w:styleId="12">
    <w:name w:val="尾注文本 字符1"/>
    <w:link w:val="ad"/>
    <w:uiPriority w:val="99"/>
    <w:qFormat/>
    <w:rPr>
      <w:rFonts w:ascii="宋体" w:hAnsi="宋体"/>
      <w:kern w:val="2"/>
      <w:sz w:val="24"/>
      <w:szCs w:val="22"/>
    </w:rPr>
  </w:style>
  <w:style w:type="character" w:customStyle="1" w:styleId="af3">
    <w:name w:val="页眉 字符"/>
    <w:link w:val="af2"/>
    <w:uiPriority w:val="99"/>
    <w:qFormat/>
    <w:rPr>
      <w:rFonts w:ascii="宋体" w:hAnsi="宋体"/>
      <w:kern w:val="2"/>
      <w:sz w:val="18"/>
      <w:szCs w:val="18"/>
    </w:rPr>
  </w:style>
  <w:style w:type="character" w:customStyle="1" w:styleId="st1">
    <w:name w:val="st1"/>
    <w:qFormat/>
  </w:style>
  <w:style w:type="paragraph" w:customStyle="1" w:styleId="110">
    <w:name w:val="标题 11"/>
    <w:basedOn w:val="a"/>
    <w:next w:val="a"/>
    <w:uiPriority w:val="9"/>
    <w:qFormat/>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Pr>
      <w:b/>
      <w:bCs/>
      <w:kern w:val="44"/>
      <w:sz w:val="44"/>
      <w:szCs w:val="44"/>
    </w:rPr>
  </w:style>
  <w:style w:type="character" w:customStyle="1" w:styleId="20">
    <w:name w:val="标题 2 字符"/>
    <w:link w:val="2"/>
    <w:qFormat/>
    <w:rPr>
      <w:rFonts w:ascii="Cambria" w:eastAsia="宋体" w:hAnsi="Cambria" w:cs="Times New Roman"/>
      <w:b/>
      <w:bCs/>
      <w:sz w:val="32"/>
      <w:szCs w:val="32"/>
    </w:rPr>
  </w:style>
  <w:style w:type="character" w:customStyle="1" w:styleId="30">
    <w:name w:val="标题 3 字符"/>
    <w:link w:val="3"/>
    <w:uiPriority w:val="9"/>
    <w:qFormat/>
    <w:rPr>
      <w:b/>
      <w:bCs/>
      <w:sz w:val="32"/>
      <w:szCs w:val="32"/>
    </w:rPr>
  </w:style>
  <w:style w:type="paragraph" w:customStyle="1" w:styleId="15">
    <w:name w:val="无间隔1"/>
    <w:next w:val="aff9"/>
    <w:uiPriority w:val="1"/>
    <w:qFormat/>
    <w:pPr>
      <w:widowControl w:val="0"/>
      <w:jc w:val="both"/>
    </w:pPr>
    <w:rPr>
      <w:kern w:val="2"/>
      <w:sz w:val="21"/>
      <w:szCs w:val="22"/>
    </w:rPr>
  </w:style>
  <w:style w:type="paragraph" w:styleId="aff9">
    <w:name w:val="No Spacing"/>
    <w:uiPriority w:val="1"/>
    <w:qFormat/>
    <w:pPr>
      <w:widowControl w:val="0"/>
      <w:jc w:val="both"/>
    </w:pPr>
    <w:rPr>
      <w:rFonts w:ascii="宋体" w:hAnsi="宋体"/>
      <w:kern w:val="2"/>
      <w:sz w:val="24"/>
      <w:szCs w:val="22"/>
    </w:rPr>
  </w:style>
  <w:style w:type="paragraph" w:customStyle="1" w:styleId="16">
    <w:name w:val="批注框文本1"/>
    <w:basedOn w:val="a"/>
    <w:next w:val="ae"/>
    <w:link w:val="Char4"/>
    <w:uiPriority w:val="99"/>
    <w:semiHidden/>
    <w:unhideWhenUsed/>
    <w:qFormat/>
    <w:rPr>
      <w:rFonts w:ascii="Calibri" w:hAnsi="Calibri"/>
      <w:kern w:val="0"/>
      <w:sz w:val="18"/>
      <w:szCs w:val="18"/>
    </w:rPr>
  </w:style>
  <w:style w:type="character" w:customStyle="1" w:styleId="Char4">
    <w:name w:val="批注框文本 Char"/>
    <w:link w:val="16"/>
    <w:uiPriority w:val="99"/>
    <w:semiHidden/>
    <w:qFormat/>
    <w:rPr>
      <w:sz w:val="18"/>
      <w:szCs w:val="18"/>
    </w:rPr>
  </w:style>
  <w:style w:type="paragraph" w:customStyle="1" w:styleId="17">
    <w:name w:val="列出段落1"/>
    <w:basedOn w:val="a"/>
    <w:next w:val="affa"/>
    <w:uiPriority w:val="34"/>
    <w:qFormat/>
    <w:pPr>
      <w:spacing w:after="120" w:line="276" w:lineRule="auto"/>
      <w:ind w:firstLineChars="200" w:firstLine="420"/>
    </w:pPr>
    <w:rPr>
      <w:rFonts w:ascii="Calibri" w:hAnsi="Calibri"/>
      <w:sz w:val="21"/>
    </w:rPr>
  </w:style>
  <w:style w:type="paragraph" w:styleId="affa">
    <w:name w:val="List Paragraph"/>
    <w:basedOn w:val="a"/>
    <w:uiPriority w:val="34"/>
    <w:qFormat/>
    <w:pPr>
      <w:ind w:firstLineChars="200" w:firstLine="420"/>
    </w:pPr>
  </w:style>
  <w:style w:type="character" w:customStyle="1" w:styleId="1Char1">
    <w:name w:val="标题 1 Char1"/>
    <w:uiPriority w:val="9"/>
    <w:qFormat/>
    <w:rPr>
      <w:rFonts w:ascii="宋体" w:hAnsi="宋体"/>
      <w:b/>
      <w:bCs/>
      <w:kern w:val="44"/>
      <w:sz w:val="44"/>
      <w:szCs w:val="44"/>
    </w:rPr>
  </w:style>
  <w:style w:type="character" w:customStyle="1" w:styleId="2Char1">
    <w:name w:val="标题 2 Char1"/>
    <w:uiPriority w:val="9"/>
    <w:semiHidden/>
    <w:qFormat/>
    <w:rPr>
      <w:rFonts w:ascii="Calibri Light" w:eastAsia="宋体" w:hAnsi="Calibri Light" w:cs="Times New Roman"/>
      <w:b/>
      <w:bCs/>
      <w:kern w:val="2"/>
      <w:sz w:val="32"/>
      <w:szCs w:val="32"/>
    </w:rPr>
  </w:style>
  <w:style w:type="character" w:customStyle="1" w:styleId="3Char1">
    <w:name w:val="标题 3 Char1"/>
    <w:uiPriority w:val="9"/>
    <w:semiHidden/>
    <w:qFormat/>
    <w:rPr>
      <w:rFonts w:ascii="宋体" w:hAnsi="宋体"/>
      <w:b/>
      <w:bCs/>
      <w:kern w:val="2"/>
      <w:sz w:val="32"/>
      <w:szCs w:val="32"/>
    </w:rPr>
  </w:style>
  <w:style w:type="character" w:customStyle="1" w:styleId="af">
    <w:name w:val="批注框文本 字符"/>
    <w:link w:val="ae"/>
    <w:uiPriority w:val="99"/>
    <w:qFormat/>
    <w:rPr>
      <w:rFonts w:ascii="宋体" w:hAnsi="宋体"/>
      <w:kern w:val="2"/>
      <w:sz w:val="18"/>
      <w:szCs w:val="18"/>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Char10">
    <w:name w:val="Char1"/>
    <w:basedOn w:val="a"/>
    <w:qFormat/>
    <w:rPr>
      <w:rFonts w:ascii="Tahoma" w:hAnsi="Tahoma"/>
      <w:szCs w:val="20"/>
    </w:rPr>
  </w:style>
  <w:style w:type="character" w:customStyle="1" w:styleId="postbody1">
    <w:name w:val="postbody1"/>
    <w:qFormat/>
    <w:rPr>
      <w:sz w:val="11"/>
      <w:szCs w:val="11"/>
    </w:rPr>
  </w:style>
  <w:style w:type="character" w:customStyle="1" w:styleId="hot">
    <w:name w:val="hot"/>
    <w:basedOn w:val="a0"/>
    <w:qFormat/>
  </w:style>
  <w:style w:type="character" w:customStyle="1" w:styleId="note">
    <w:name w:val="note"/>
    <w:qFormat/>
    <w:rPr>
      <w:color w:val="800080"/>
      <w:sz w:val="20"/>
      <w:szCs w:val="20"/>
    </w:rPr>
  </w:style>
  <w:style w:type="character" w:customStyle="1" w:styleId="CharChar7">
    <w:name w:val="Char Char7"/>
    <w:semiHidden/>
    <w:qFormat/>
    <w:rPr>
      <w:rFonts w:eastAsia="宋体"/>
      <w:kern w:val="2"/>
      <w:sz w:val="18"/>
      <w:szCs w:val="18"/>
      <w:lang w:val="en-US" w:eastAsia="zh-CN" w:bidi="ar-SA"/>
    </w:rPr>
  </w:style>
  <w:style w:type="character" w:customStyle="1" w:styleId="a8">
    <w:name w:val="正文文本 字符"/>
    <w:link w:val="a7"/>
    <w:qFormat/>
    <w:rPr>
      <w:lang w:val="en-US" w:eastAsia="zh-CN"/>
    </w:rPr>
  </w:style>
  <w:style w:type="character" w:customStyle="1" w:styleId="byline1">
    <w:name w:val="byline1"/>
    <w:qFormat/>
    <w:rPr>
      <w:color w:val="408080"/>
      <w:sz w:val="32"/>
      <w:szCs w:val="32"/>
    </w:rPr>
  </w:style>
  <w:style w:type="character" w:customStyle="1" w:styleId="Hyperlink0">
    <w:name w:val="Hyperlink.0"/>
    <w:qFormat/>
    <w:rPr>
      <w:rFonts w:ascii="DFKai-SB" w:eastAsia="DFKai-SB" w:hAnsi="DFKai-SB" w:cs="DFKai-SB"/>
      <w:sz w:val="22"/>
      <w:szCs w:val="22"/>
      <w:lang w:val="zh-TW" w:eastAsia="zh-TW"/>
    </w:rPr>
  </w:style>
  <w:style w:type="character" w:customStyle="1" w:styleId="affb">
    <w:name w:val="尾注文本 字符"/>
    <w:qFormat/>
    <w:rPr>
      <w:kern w:val="2"/>
      <w:sz w:val="21"/>
      <w:szCs w:val="24"/>
    </w:rPr>
  </w:style>
  <w:style w:type="character" w:customStyle="1" w:styleId="affc">
    <w:name w:val="脚注文本 字符"/>
    <w:uiPriority w:val="99"/>
    <w:qFormat/>
    <w:rPr>
      <w:sz w:val="20"/>
      <w:szCs w:val="20"/>
    </w:rPr>
  </w:style>
  <w:style w:type="paragraph" w:customStyle="1" w:styleId="affd">
    <w:name w:val="注文"/>
    <w:basedOn w:val="a"/>
    <w:qFormat/>
    <w:pPr>
      <w:ind w:leftChars="405" w:left="1155" w:hangingChars="10" w:hanging="21"/>
    </w:pPr>
    <w:rPr>
      <w:rFonts w:ascii="Calibri" w:hAnsi="Calibri"/>
      <w:color w:val="92D050"/>
      <w:sz w:val="21"/>
      <w:szCs w:val="21"/>
    </w:rPr>
  </w:style>
  <w:style w:type="paragraph" w:customStyle="1" w:styleId="affe">
    <w:name w:val="小標"/>
    <w:basedOn w:val="a"/>
    <w:qFormat/>
    <w:pPr>
      <w:ind w:leftChars="53" w:left="708" w:hangingChars="200" w:hanging="560"/>
    </w:pPr>
    <w:rPr>
      <w:rFonts w:ascii="Calibri" w:hAnsi="Calibri"/>
      <w:sz w:val="21"/>
      <w:szCs w:val="24"/>
    </w:rPr>
  </w:style>
  <w:style w:type="character" w:customStyle="1" w:styleId="ac">
    <w:name w:val="日期 字符"/>
    <w:link w:val="ab"/>
    <w:qFormat/>
    <w:rPr>
      <w:rFonts w:ascii="宋体" w:hAnsi="宋体"/>
      <w:kern w:val="2"/>
      <w:sz w:val="24"/>
      <w:szCs w:val="22"/>
    </w:rPr>
  </w:style>
  <w:style w:type="character" w:customStyle="1" w:styleId="Char5">
    <w:name w:val="尾注文本 Char"/>
    <w:qFormat/>
    <w:rPr>
      <w:kern w:val="2"/>
      <w:sz w:val="21"/>
      <w:szCs w:val="24"/>
    </w:rPr>
  </w:style>
  <w:style w:type="character" w:customStyle="1" w:styleId="fontstyle01">
    <w:name w:val="fontstyle01"/>
    <w:basedOn w:val="a0"/>
    <w:qFormat/>
    <w:rPr>
      <w:rFonts w:ascii="TimesNewRomanPS-BoldMT" w:hAnsi="TimesNewRomanPS-BoldMT" w:hint="default"/>
      <w:b/>
      <w:bCs/>
      <w:color w:val="000000"/>
      <w:sz w:val="36"/>
      <w:szCs w:val="36"/>
    </w:rPr>
  </w:style>
  <w:style w:type="character" w:customStyle="1" w:styleId="fontstyle11">
    <w:name w:val="fontstyle11"/>
    <w:basedOn w:val="a0"/>
    <w:qFormat/>
    <w:rPr>
      <w:rFonts w:ascii="宋体" w:eastAsia="宋体" w:hAnsi="宋体" w:hint="eastAsia"/>
      <w:color w:val="000000"/>
      <w:sz w:val="36"/>
      <w:szCs w:val="36"/>
    </w:rPr>
  </w:style>
  <w:style w:type="character" w:customStyle="1" w:styleId="fontstyle21">
    <w:name w:val="fontstyle21"/>
    <w:basedOn w:val="a0"/>
    <w:qFormat/>
    <w:rPr>
      <w:rFonts w:ascii="Batang" w:eastAsia="Batang" w:hint="eastAsia"/>
      <w:color w:val="000000"/>
      <w:sz w:val="24"/>
      <w:szCs w:val="24"/>
    </w:rPr>
  </w:style>
  <w:style w:type="character" w:customStyle="1" w:styleId="fontstyle31">
    <w:name w:val="fontstyle31"/>
    <w:basedOn w:val="a0"/>
    <w:qFormat/>
    <w:rPr>
      <w:rFonts w:ascii="New Gulim" w:hAnsi="New Gulim" w:hint="default"/>
      <w:color w:val="000000"/>
      <w:sz w:val="24"/>
      <w:szCs w:val="24"/>
    </w:rPr>
  </w:style>
  <w:style w:type="character" w:customStyle="1" w:styleId="afff">
    <w:name w:val="控呇湮佽恅苤蚼 红色"/>
    <w:basedOn w:val="a0"/>
    <w:qFormat/>
    <w:rPr>
      <w:rFonts w:ascii="控呇湮佽恅苤蚼" w:eastAsia="控呇湮佽恅苤蚼" w:hAnsi="控呇湮佽恅苤蚼"/>
      <w:color w:val="FF0000"/>
    </w:rPr>
  </w:style>
  <w:style w:type="paragraph" w:customStyle="1" w:styleId="Char11">
    <w:name w:val="Char11"/>
    <w:basedOn w:val="a"/>
    <w:qFormat/>
    <w:rPr>
      <w:rFonts w:ascii="Tahoma" w:hAnsi="Tahoma"/>
      <w:szCs w:val="20"/>
    </w:rPr>
  </w:style>
  <w:style w:type="character" w:customStyle="1" w:styleId="af8">
    <w:name w:val="标题 字符"/>
    <w:basedOn w:val="a0"/>
    <w:link w:val="af7"/>
    <w:uiPriority w:val="10"/>
    <w:qFormat/>
    <w:rPr>
      <w:rFonts w:asciiTheme="majorHAnsi" w:hAnsiTheme="majorHAnsi" w:cstheme="majorBidi"/>
      <w:b/>
      <w:bCs/>
      <w:kern w:val="2"/>
      <w:sz w:val="32"/>
      <w:szCs w:val="32"/>
    </w:rPr>
  </w:style>
  <w:style w:type="paragraph" w:customStyle="1" w:styleId="4">
    <w:name w:val="样式4"/>
    <w:basedOn w:val="a"/>
    <w:qFormat/>
    <w:pPr>
      <w:spacing w:line="360" w:lineRule="auto"/>
      <w:jc w:val="center"/>
    </w:pPr>
    <w:rPr>
      <w:rFonts w:asciiTheme="minorHAnsi" w:eastAsiaTheme="minorEastAsia" w:hAnsiTheme="minorHAnsi" w:cstheme="minorBidi"/>
      <w:szCs w:val="21"/>
      <w:lang w:eastAsia="zh-TW"/>
    </w:rPr>
  </w:style>
  <w:style w:type="character" w:customStyle="1" w:styleId="18">
    <w:name w:val="未处理的提及1"/>
    <w:basedOn w:val="a0"/>
    <w:uiPriority w:val="99"/>
    <w:semiHidden/>
    <w:unhideWhenUsed/>
    <w:qFormat/>
    <w:rPr>
      <w:color w:val="808080"/>
      <w:shd w:val="clear" w:color="auto" w:fill="E6E6E6"/>
    </w:rPr>
  </w:style>
  <w:style w:type="character" w:customStyle="1" w:styleId="a6">
    <w:name w:val="批注文字 字符"/>
    <w:basedOn w:val="a0"/>
    <w:link w:val="a5"/>
    <w:uiPriority w:val="99"/>
    <w:semiHidden/>
    <w:qFormat/>
    <w:rPr>
      <w:rFonts w:asciiTheme="minorHAnsi" w:eastAsiaTheme="minorEastAsia" w:hAnsiTheme="minorHAnsi" w:cstheme="minorBidi"/>
      <w:kern w:val="2"/>
      <w:sz w:val="21"/>
      <w:szCs w:val="22"/>
    </w:rPr>
  </w:style>
  <w:style w:type="character" w:customStyle="1" w:styleId="afa">
    <w:name w:val="批注主题 字符"/>
    <w:basedOn w:val="a6"/>
    <w:link w:val="af9"/>
    <w:uiPriority w:val="99"/>
    <w:semiHidden/>
    <w:qFormat/>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qFormat/>
    <w:rPr>
      <w:rFonts w:ascii="宋体" w:hAnsi="宋体"/>
      <w:b/>
      <w:bCs/>
      <w:kern w:val="2"/>
      <w:sz w:val="28"/>
      <w:szCs w:val="28"/>
    </w:rPr>
  </w:style>
  <w:style w:type="character" w:customStyle="1" w:styleId="mw-headline">
    <w:name w:val="mw-headline"/>
    <w:basedOn w:val="a0"/>
    <w:qFormat/>
  </w:style>
  <w:style w:type="character" w:customStyle="1" w:styleId="51">
    <w:name w:val="标题 5 字符1"/>
    <w:link w:val="5"/>
    <w:uiPriority w:val="9"/>
    <w:qFormat/>
    <w:rPr>
      <w:rFonts w:ascii="宋体-方正超大字符集" w:eastAsia="宋体-方正超大字符集"/>
      <w:b/>
      <w:bCs/>
      <w:kern w:val="2"/>
      <w:sz w:val="24"/>
      <w:szCs w:val="28"/>
    </w:rPr>
  </w:style>
  <w:style w:type="character" w:customStyle="1" w:styleId="13">
    <w:name w:val="副标题 字符1"/>
    <w:link w:val="af4"/>
    <w:uiPriority w:val="11"/>
    <w:qFormat/>
    <w:rPr>
      <w:rFonts w:ascii="Cambria" w:hAnsi="Cambria"/>
      <w:b/>
      <w:bCs/>
      <w:kern w:val="28"/>
      <w:sz w:val="24"/>
      <w:szCs w:val="32"/>
    </w:rPr>
  </w:style>
  <w:style w:type="character" w:customStyle="1" w:styleId="afff0">
    <w:name w:val="副标题 字符"/>
    <w:basedOn w:val="a0"/>
    <w:uiPriority w:val="11"/>
    <w:qFormat/>
    <w:rPr>
      <w:rFonts w:asciiTheme="minorHAnsi" w:eastAsiaTheme="minorEastAsia" w:hAnsiTheme="minorHAnsi" w:cstheme="minorBidi"/>
      <w:b/>
      <w:bCs/>
      <w:kern w:val="28"/>
      <w:sz w:val="32"/>
      <w:szCs w:val="32"/>
    </w:rPr>
  </w:style>
  <w:style w:type="character" w:customStyle="1" w:styleId="afff1">
    <w:name w:val="文档结构图 字符"/>
    <w:basedOn w:val="a0"/>
    <w:qFormat/>
    <w:rPr>
      <w:rFonts w:ascii="Microsoft YaHei UI" w:eastAsia="Microsoft YaHei UI" w:hAnsi="宋体"/>
      <w:kern w:val="2"/>
      <w:sz w:val="18"/>
      <w:szCs w:val="18"/>
    </w:rPr>
  </w:style>
  <w:style w:type="character" w:customStyle="1" w:styleId="11">
    <w:name w:val="文档结构图 字符1"/>
    <w:link w:val="a4"/>
    <w:uiPriority w:val="99"/>
    <w:semiHidden/>
    <w:qFormat/>
    <w:rPr>
      <w:rFonts w:ascii="宋体" w:hAnsi="Times New Roman"/>
      <w:kern w:val="2"/>
      <w:sz w:val="18"/>
      <w:szCs w:val="18"/>
    </w:rPr>
  </w:style>
  <w:style w:type="character" w:customStyle="1" w:styleId="1Char">
    <w:name w:val="标题 1 Char"/>
    <w:uiPriority w:val="9"/>
    <w:qFormat/>
    <w:rPr>
      <w:rFonts w:ascii="宋体-方正超大字符集" w:eastAsia="宋体-方正超大字符集"/>
      <w:b/>
      <w:bCs/>
      <w:kern w:val="44"/>
      <w:sz w:val="44"/>
      <w:szCs w:val="44"/>
    </w:rPr>
  </w:style>
  <w:style w:type="character" w:customStyle="1" w:styleId="Char6">
    <w:name w:val="页脚 Char"/>
    <w:uiPriority w:val="99"/>
    <w:qFormat/>
    <w:rPr>
      <w:rFonts w:ascii="宋体-方正超大字符集" w:eastAsia="宋体-方正超大字符集"/>
      <w:kern w:val="2"/>
      <w:sz w:val="18"/>
      <w:szCs w:val="22"/>
    </w:rPr>
  </w:style>
  <w:style w:type="character" w:customStyle="1" w:styleId="divimport1">
    <w:name w:val="divimport1"/>
    <w:qFormat/>
    <w:rPr>
      <w:rFonts w:ascii="ˎ̥" w:hAnsi="ˎ̥" w:hint="default"/>
      <w:sz w:val="21"/>
      <w:szCs w:val="21"/>
    </w:rPr>
  </w:style>
  <w:style w:type="paragraph" w:customStyle="1" w:styleId="afff2">
    <w:name w:val="引文"/>
    <w:basedOn w:val="a"/>
    <w:qFormat/>
    <w:pPr>
      <w:widowControl/>
      <w:ind w:leftChars="100" w:left="210" w:firstLineChars="200" w:firstLine="480"/>
      <w:jc w:val="left"/>
    </w:pPr>
    <w:rPr>
      <w:rFonts w:ascii="仿宋" w:eastAsia="仿宋" w:hAnsi="仿宋" w:cs="宋体"/>
      <w:kern w:val="0"/>
      <w:szCs w:val="24"/>
    </w:rPr>
  </w:style>
  <w:style w:type="paragraph" w:customStyle="1" w:styleId="afff3">
    <w:name w:val="注釋"/>
    <w:basedOn w:val="a"/>
    <w:qFormat/>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Pr>
      <w:b/>
      <w:bCs/>
    </w:rPr>
  </w:style>
  <w:style w:type="character" w:customStyle="1" w:styleId="EndnoteCharacters">
    <w:name w:val="Endnote Characters"/>
    <w:qFormat/>
  </w:style>
  <w:style w:type="character" w:customStyle="1" w:styleId="FootnoteCharacters">
    <w:name w:val="Footnote Characters"/>
    <w:qFormat/>
  </w:style>
  <w:style w:type="paragraph" w:customStyle="1" w:styleId="EndnoteSymbol">
    <w:name w:val="Endnote Symbol"/>
    <w:basedOn w:val="a"/>
    <w:qFormat/>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customStyle="1" w:styleId="22">
    <w:name w:val="未处理的提及2"/>
    <w:basedOn w:val="a0"/>
    <w:uiPriority w:val="99"/>
    <w:semiHidden/>
    <w:unhideWhenUsed/>
    <w:qFormat/>
    <w:rPr>
      <w:color w:val="605E5C"/>
      <w:shd w:val="clear" w:color="auto" w:fill="E1DFDD"/>
    </w:rPr>
  </w:style>
  <w:style w:type="table" w:customStyle="1" w:styleId="19">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Quote"/>
    <w:basedOn w:val="a"/>
    <w:next w:val="a"/>
    <w:link w:val="afff5"/>
    <w:uiPriority w:val="29"/>
    <w:qFormat/>
    <w:pPr>
      <w:spacing w:before="200" w:after="160"/>
      <w:ind w:left="864" w:right="864"/>
      <w:jc w:val="center"/>
    </w:pPr>
    <w:rPr>
      <w:i/>
      <w:iCs/>
      <w:color w:val="404040" w:themeColor="text1" w:themeTint="BF"/>
    </w:rPr>
  </w:style>
  <w:style w:type="character" w:customStyle="1" w:styleId="afff5">
    <w:name w:val="引用 字符"/>
    <w:basedOn w:val="a0"/>
    <w:link w:val="afff4"/>
    <w:uiPriority w:val="29"/>
    <w:qFormat/>
    <w:rPr>
      <w:rFonts w:ascii="宋体" w:hAnsi="宋体"/>
      <w:i/>
      <w:iCs/>
      <w:color w:val="404040" w:themeColor="text1" w:themeTint="BF"/>
      <w:kern w:val="2"/>
      <w:sz w:val="24"/>
      <w:szCs w:val="22"/>
    </w:rPr>
  </w:style>
  <w:style w:type="paragraph" w:customStyle="1" w:styleId="1a">
    <w:name w:val="标题1"/>
    <w:basedOn w:val="a"/>
    <w:link w:val="1Char0"/>
    <w:qFormat/>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Pr>
      <w:rFonts w:ascii="方正书宋简体" w:eastAsia="方正书宋简体"/>
      <w:kern w:val="2"/>
      <w:sz w:val="36"/>
      <w:szCs w:val="36"/>
    </w:rPr>
  </w:style>
  <w:style w:type="paragraph" w:customStyle="1" w:styleId="afff6">
    <w:name w:val="作者行"/>
    <w:basedOn w:val="a"/>
    <w:link w:val="Char7"/>
    <w:qFormat/>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4"/>
    <w:link w:val="1Char2"/>
    <w:qFormat/>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6"/>
    <w:qFormat/>
    <w:rPr>
      <w:rFonts w:ascii="方正仿宋简体" w:eastAsia="方正仿宋简体" w:hAnsi="Times New Roman"/>
      <w:kern w:val="2"/>
      <w:sz w:val="28"/>
      <w:szCs w:val="28"/>
    </w:rPr>
  </w:style>
  <w:style w:type="paragraph" w:customStyle="1" w:styleId="120">
    <w:name w:val="样式1标题2"/>
    <w:basedOn w:val="a"/>
    <w:link w:val="12Char"/>
    <w:qFormat/>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qFormat/>
    <w:rPr>
      <w:rFonts w:ascii="方正楷体简体" w:eastAsia="方正楷体简体" w:hAnsi="Cambria"/>
      <w:bCs/>
      <w:w w:val="120"/>
      <w:kern w:val="2"/>
      <w:sz w:val="28"/>
      <w:szCs w:val="32"/>
    </w:rPr>
  </w:style>
  <w:style w:type="character" w:customStyle="1" w:styleId="12Char">
    <w:name w:val="样式1标题2 Char"/>
    <w:link w:val="120"/>
    <w:qFormat/>
    <w:rPr>
      <w:rFonts w:ascii="方正楷体简体" w:eastAsia="方正楷体简体"/>
      <w:w w:val="120"/>
      <w:kern w:val="2"/>
      <w:sz w:val="28"/>
      <w:szCs w:val="28"/>
    </w:rPr>
  </w:style>
  <w:style w:type="paragraph" w:customStyle="1" w:styleId="23">
    <w:name w:val="样式2标题3"/>
    <w:basedOn w:val="a"/>
    <w:link w:val="23Char"/>
    <w:qFormat/>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qFormat/>
    <w:rPr>
      <w:rFonts w:ascii="方正黑体简体" w:eastAsia="方正黑体简体"/>
      <w:w w:val="110"/>
      <w:kern w:val="2"/>
      <w:sz w:val="21"/>
      <w:szCs w:val="21"/>
    </w:rPr>
  </w:style>
  <w:style w:type="paragraph" w:customStyle="1" w:styleId="24">
    <w:name w:val="副标题，标题2"/>
    <w:basedOn w:val="1b"/>
    <w:next w:val="a7"/>
    <w:link w:val="2Char"/>
    <w:qFormat/>
  </w:style>
  <w:style w:type="paragraph" w:customStyle="1" w:styleId="140">
    <w:name w:val="样式1标题4"/>
    <w:basedOn w:val="a"/>
    <w:link w:val="14Char"/>
    <w:qFormat/>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4"/>
    <w:qFormat/>
    <w:rPr>
      <w:rFonts w:ascii="方正楷体简体" w:eastAsia="方正楷体简体" w:hAnsi="Cambria"/>
      <w:bCs/>
      <w:w w:val="120"/>
      <w:kern w:val="2"/>
      <w:sz w:val="28"/>
      <w:szCs w:val="32"/>
    </w:rPr>
  </w:style>
  <w:style w:type="character" w:customStyle="1" w:styleId="14Char">
    <w:name w:val="样式1标题4 Char"/>
    <w:link w:val="140"/>
    <w:qFormat/>
    <w:rPr>
      <w:rFonts w:ascii="方正黑体简体" w:eastAsia="方正黑体简体" w:hAnsi="Times New Roman"/>
      <w:kern w:val="2"/>
      <w:sz w:val="21"/>
      <w:szCs w:val="24"/>
    </w:rPr>
  </w:style>
  <w:style w:type="paragraph" w:customStyle="1" w:styleId="afff7">
    <w:name w:val="标题４"/>
    <w:basedOn w:val="140"/>
    <w:next w:val="a7"/>
    <w:link w:val="Char8"/>
    <w:qFormat/>
    <w:pPr>
      <w:ind w:firstLine="400"/>
    </w:pPr>
  </w:style>
  <w:style w:type="character" w:customStyle="1" w:styleId="Char8">
    <w:name w:val="标题４ Char"/>
    <w:link w:val="afff7"/>
    <w:qFormat/>
    <w:rPr>
      <w:rFonts w:ascii="方正黑体简体" w:eastAsia="方正黑体简体" w:hAnsi="Times New Roman"/>
      <w:kern w:val="2"/>
      <w:sz w:val="21"/>
      <w:szCs w:val="24"/>
    </w:rPr>
  </w:style>
  <w:style w:type="character" w:customStyle="1" w:styleId="aa">
    <w:name w:val="正文文本缩进 字符"/>
    <w:basedOn w:val="a0"/>
    <w:link w:val="a9"/>
    <w:qFormat/>
    <w:rPr>
      <w:rFonts w:ascii="Times New Roman" w:eastAsia="方正书宋简体" w:hAnsi="Times New Roman"/>
      <w:kern w:val="2"/>
      <w:szCs w:val="24"/>
    </w:rPr>
  </w:style>
  <w:style w:type="paragraph" w:customStyle="1" w:styleId="afff8">
    <w:name w:val="论丛标题"/>
    <w:basedOn w:val="1"/>
    <w:link w:val="Char9"/>
    <w:qFormat/>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9">
    <w:name w:val="论丛副题"/>
    <w:basedOn w:val="24"/>
    <w:link w:val="Chara"/>
    <w:qFormat/>
    <w:pPr>
      <w:adjustRightInd w:val="0"/>
      <w:spacing w:line="240" w:lineRule="auto"/>
      <w:outlineLvl w:val="0"/>
    </w:pPr>
    <w:rPr>
      <w:snapToGrid w:val="0"/>
    </w:rPr>
  </w:style>
  <w:style w:type="character" w:customStyle="1" w:styleId="Char9">
    <w:name w:val="论丛标题 Char"/>
    <w:basedOn w:val="10"/>
    <w:link w:val="afff8"/>
    <w:qFormat/>
    <w:rPr>
      <w:rFonts w:ascii="方正书宋简体" w:eastAsia="方正书宋简体" w:hAnsi="Times New Roman"/>
      <w:b w:val="0"/>
      <w:bCs/>
      <w:snapToGrid w:val="0"/>
      <w:kern w:val="44"/>
      <w:sz w:val="36"/>
      <w:szCs w:val="44"/>
    </w:rPr>
  </w:style>
  <w:style w:type="paragraph" w:customStyle="1" w:styleId="afffa">
    <w:name w:val="论丛作者"/>
    <w:basedOn w:val="afff6"/>
    <w:link w:val="Charb"/>
    <w:qFormat/>
    <w:pPr>
      <w:adjustRightInd w:val="0"/>
      <w:spacing w:line="240" w:lineRule="auto"/>
      <w:outlineLvl w:val="0"/>
    </w:pPr>
  </w:style>
  <w:style w:type="character" w:customStyle="1" w:styleId="Chara">
    <w:name w:val="论丛副题 Char"/>
    <w:basedOn w:val="2Char"/>
    <w:link w:val="afff9"/>
    <w:qFormat/>
    <w:rPr>
      <w:rFonts w:ascii="方正楷体简体" w:eastAsia="方正楷体简体" w:hAnsi="Cambria"/>
      <w:bCs/>
      <w:snapToGrid w:val="0"/>
      <w:w w:val="120"/>
      <w:kern w:val="2"/>
      <w:sz w:val="28"/>
      <w:szCs w:val="32"/>
    </w:rPr>
  </w:style>
  <w:style w:type="paragraph" w:customStyle="1" w:styleId="afffb">
    <w:name w:val="论丛题注"/>
    <w:basedOn w:val="af5"/>
    <w:link w:val="Charc"/>
    <w:qFormat/>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a"/>
    <w:qFormat/>
    <w:rPr>
      <w:rFonts w:ascii="方正仿宋简体" w:eastAsia="方正仿宋简体" w:hAnsi="Times New Roman"/>
      <w:kern w:val="2"/>
      <w:sz w:val="28"/>
      <w:szCs w:val="28"/>
    </w:rPr>
  </w:style>
  <w:style w:type="paragraph" w:customStyle="1" w:styleId="afffc">
    <w:name w:val="论丛提要"/>
    <w:basedOn w:val="a"/>
    <w:link w:val="Chard"/>
    <w:qFormat/>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fc"/>
    <w:link w:val="afffb"/>
    <w:qFormat/>
    <w:rPr>
      <w:rFonts w:ascii="Times New Roman" w:eastAsia="方正书宋简体" w:hAnsi="Times New Roman"/>
      <w:snapToGrid w:val="0"/>
      <w:w w:val="110"/>
      <w:sz w:val="15"/>
      <w:szCs w:val="15"/>
    </w:rPr>
  </w:style>
  <w:style w:type="paragraph" w:customStyle="1" w:styleId="1c">
    <w:name w:val="论丛题1"/>
    <w:basedOn w:val="2"/>
    <w:link w:val="1Char3"/>
    <w:qFormat/>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c"/>
    <w:qFormat/>
    <w:rPr>
      <w:rFonts w:ascii="方正书宋简体" w:eastAsia="方正书宋简体" w:hAnsi="Times New Roman"/>
      <w:snapToGrid w:val="0"/>
      <w:sz w:val="18"/>
      <w:szCs w:val="18"/>
    </w:rPr>
  </w:style>
  <w:style w:type="paragraph" w:customStyle="1" w:styleId="afffd">
    <w:name w:val="论丛正文"/>
    <w:basedOn w:val="a"/>
    <w:link w:val="Chare"/>
    <w:qFormat/>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qFormat/>
    <w:rPr>
      <w:rFonts w:ascii="方正楷体简体" w:eastAsia="方正楷体简体" w:hAnsi="Arial" w:cs="Times New Roman"/>
      <w:b w:val="0"/>
      <w:bCs/>
      <w:w w:val="120"/>
      <w:kern w:val="2"/>
      <w:sz w:val="28"/>
      <w:szCs w:val="32"/>
    </w:rPr>
  </w:style>
  <w:style w:type="paragraph" w:customStyle="1" w:styleId="25">
    <w:name w:val="论丛题2"/>
    <w:basedOn w:val="3"/>
    <w:link w:val="2Char0"/>
    <w:qFormat/>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d"/>
    <w:qFormat/>
    <w:rPr>
      <w:rFonts w:ascii="方正书宋简体" w:eastAsia="方正书宋简体" w:hAnsi="Times New Roman"/>
      <w:kern w:val="2"/>
    </w:rPr>
  </w:style>
  <w:style w:type="paragraph" w:customStyle="1" w:styleId="32">
    <w:name w:val="论丛题3"/>
    <w:basedOn w:val="afff7"/>
    <w:link w:val="3Char"/>
    <w:qFormat/>
    <w:pPr>
      <w:adjustRightInd w:val="0"/>
      <w:spacing w:line="366" w:lineRule="exact"/>
      <w:ind w:firstLine="442"/>
      <w:outlineLvl w:val="3"/>
    </w:pPr>
    <w:rPr>
      <w:snapToGrid w:val="0"/>
    </w:rPr>
  </w:style>
  <w:style w:type="character" w:customStyle="1" w:styleId="2Char0">
    <w:name w:val="论丛题2 Char"/>
    <w:basedOn w:val="30"/>
    <w:link w:val="25"/>
    <w:qFormat/>
    <w:rPr>
      <w:rFonts w:ascii="方正黑体简体" w:eastAsia="方正黑体简体" w:hAnsi="Times New Roman"/>
      <w:b w:val="0"/>
      <w:bCs/>
      <w:snapToGrid w:val="0"/>
      <w:w w:val="110"/>
      <w:sz w:val="21"/>
      <w:szCs w:val="32"/>
    </w:rPr>
  </w:style>
  <w:style w:type="paragraph" w:customStyle="1" w:styleId="afffe">
    <w:name w:val="论丛引例"/>
    <w:basedOn w:val="a"/>
    <w:link w:val="Charf"/>
    <w:qFormat/>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qFormat/>
    <w:rPr>
      <w:rFonts w:ascii="方正黑体简体" w:eastAsia="方正黑体简体" w:hAnsi="Times New Roman"/>
      <w:snapToGrid w:val="0"/>
      <w:kern w:val="2"/>
      <w:sz w:val="21"/>
      <w:szCs w:val="24"/>
    </w:rPr>
  </w:style>
  <w:style w:type="paragraph" w:customStyle="1" w:styleId="affff">
    <w:name w:val="论丛表题"/>
    <w:basedOn w:val="a"/>
    <w:link w:val="Charf0"/>
    <w:qFormat/>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e"/>
    <w:qFormat/>
    <w:rPr>
      <w:rFonts w:ascii="方正仿宋简体" w:eastAsia="方正仿宋简体" w:hAnsi="Times New Roman"/>
      <w:kern w:val="2"/>
    </w:rPr>
  </w:style>
  <w:style w:type="paragraph" w:customStyle="1" w:styleId="affff0">
    <w:name w:val="论丛附参题"/>
    <w:basedOn w:val="ad"/>
    <w:link w:val="Charf1"/>
    <w:qFormat/>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
    <w:qFormat/>
    <w:rPr>
      <w:rFonts w:ascii="方正准圆简体" w:eastAsia="方正准圆简体" w:hAnsi="Times New Roman"/>
      <w:w w:val="110"/>
      <w:kern w:val="2"/>
      <w:sz w:val="18"/>
      <w:szCs w:val="18"/>
    </w:rPr>
  </w:style>
  <w:style w:type="paragraph" w:customStyle="1" w:styleId="affff1">
    <w:name w:val="论丛附参文"/>
    <w:basedOn w:val="afffd"/>
    <w:link w:val="Charf2"/>
    <w:qFormat/>
    <w:pPr>
      <w:spacing w:line="300" w:lineRule="exact"/>
      <w:ind w:firstLine="382"/>
    </w:pPr>
    <w:rPr>
      <w:sz w:val="18"/>
      <w:szCs w:val="18"/>
    </w:rPr>
  </w:style>
  <w:style w:type="character" w:customStyle="1" w:styleId="Charf1">
    <w:name w:val="论丛附参题 Char"/>
    <w:basedOn w:val="affb"/>
    <w:link w:val="affff0"/>
    <w:qFormat/>
    <w:rPr>
      <w:rFonts w:ascii="方正黑体简体" w:eastAsia="方正黑体简体" w:hAnsi="Times New Roman"/>
      <w:snapToGrid w:val="0"/>
      <w:kern w:val="2"/>
      <w:sz w:val="18"/>
      <w:szCs w:val="18"/>
    </w:rPr>
  </w:style>
  <w:style w:type="paragraph" w:customStyle="1" w:styleId="affff2">
    <w:name w:val="论丛英摘"/>
    <w:basedOn w:val="a"/>
    <w:link w:val="Charf3"/>
    <w:qFormat/>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1"/>
    <w:qFormat/>
    <w:rPr>
      <w:rFonts w:ascii="方正书宋简体" w:eastAsia="方正书宋简体" w:hAnsi="Times New Roman"/>
      <w:kern w:val="2"/>
      <w:sz w:val="18"/>
      <w:szCs w:val="18"/>
    </w:rPr>
  </w:style>
  <w:style w:type="character" w:customStyle="1" w:styleId="Charf3">
    <w:name w:val="论丛英摘 Char"/>
    <w:basedOn w:val="a0"/>
    <w:link w:val="affff2"/>
    <w:qFormat/>
    <w:rPr>
      <w:rFonts w:ascii="方正书宋简体" w:eastAsia="方正书宋简体" w:hAnsi="Times New Roman"/>
      <w:kern w:val="2"/>
      <w:sz w:val="21"/>
      <w:szCs w:val="21"/>
    </w:rPr>
  </w:style>
  <w:style w:type="paragraph" w:customStyle="1" w:styleId="1d">
    <w:name w:val="修订1"/>
    <w:hidden/>
    <w:uiPriority w:val="99"/>
    <w:semiHidden/>
    <w:qFormat/>
    <w:rPr>
      <w:rFonts w:ascii="Times New Roman" w:eastAsia="方正书宋简体" w:hAnsi="Times New Roman"/>
      <w:kern w:val="2"/>
      <w:szCs w:val="24"/>
    </w:rPr>
  </w:style>
  <w:style w:type="table" w:customStyle="1" w:styleId="26">
    <w:name w:val="网格型2"/>
    <w:basedOn w:val="a1"/>
    <w:uiPriority w:val="39"/>
    <w:qFormat/>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0"/>
    <w:qFormat/>
  </w:style>
  <w:style w:type="table" w:customStyle="1" w:styleId="33">
    <w:name w:val="网格型3"/>
    <w:basedOn w:val="a1"/>
    <w:uiPriority w:val="39"/>
    <w:qFormat/>
    <w:rPr>
      <w:rFonts w:ascii="宋体" w:hAnsi="宋体"/>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uiPriority w:val="39"/>
    <w:qFormat/>
    <w:rPr>
      <w:rFonts w:ascii="Times New Roman" w:hAnsi="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0"/>
    <w:uiPriority w:val="99"/>
    <w:semiHidden/>
    <w:unhideWhenUsed/>
    <w:rsid w:val="00B7429A"/>
    <w:rPr>
      <w:color w:val="605E5C"/>
      <w:shd w:val="clear" w:color="auto" w:fill="E1DFDD"/>
    </w:rPr>
  </w:style>
  <w:style w:type="character" w:customStyle="1" w:styleId="affff4">
    <w:name w:val="腳註 字符"/>
    <w:basedOn w:val="a0"/>
    <w:link w:val="affff5"/>
    <w:locked/>
    <w:rsid w:val="004726FD"/>
    <w:rPr>
      <w:rFonts w:ascii="宋体" w:hAnsi="宋体" w:cs="Arial"/>
      <w:sz w:val="18"/>
      <w:szCs w:val="18"/>
    </w:rPr>
  </w:style>
  <w:style w:type="paragraph" w:customStyle="1" w:styleId="affff5">
    <w:name w:val="腳註"/>
    <w:basedOn w:val="a"/>
    <w:link w:val="affff4"/>
    <w:qFormat/>
    <w:rsid w:val="004726FD"/>
    <w:pPr>
      <w:ind w:firstLineChars="200" w:firstLine="200"/>
    </w:pPr>
    <w:rPr>
      <w:rFonts w:cs="Arial"/>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533174">
      <w:bodyDiv w:val="1"/>
      <w:marLeft w:val="0"/>
      <w:marRight w:val="0"/>
      <w:marTop w:val="0"/>
      <w:marBottom w:val="0"/>
      <w:divBdr>
        <w:top w:val="none" w:sz="0" w:space="0" w:color="auto"/>
        <w:left w:val="none" w:sz="0" w:space="0" w:color="auto"/>
        <w:bottom w:val="none" w:sz="0" w:space="0" w:color="auto"/>
        <w:right w:val="none" w:sz="0" w:space="0" w:color="auto"/>
      </w:divBdr>
    </w:div>
    <w:div w:id="631787396">
      <w:bodyDiv w:val="1"/>
      <w:marLeft w:val="0"/>
      <w:marRight w:val="0"/>
      <w:marTop w:val="0"/>
      <w:marBottom w:val="0"/>
      <w:divBdr>
        <w:top w:val="none" w:sz="0" w:space="0" w:color="auto"/>
        <w:left w:val="none" w:sz="0" w:space="0" w:color="auto"/>
        <w:bottom w:val="none" w:sz="0" w:space="0" w:color="auto"/>
        <w:right w:val="none" w:sz="0" w:space="0" w:color="auto"/>
      </w:divBdr>
    </w:div>
    <w:div w:id="1253317660">
      <w:bodyDiv w:val="1"/>
      <w:marLeft w:val="0"/>
      <w:marRight w:val="0"/>
      <w:marTop w:val="0"/>
      <w:marBottom w:val="0"/>
      <w:divBdr>
        <w:top w:val="none" w:sz="0" w:space="0" w:color="auto"/>
        <w:left w:val="none" w:sz="0" w:space="0" w:color="auto"/>
        <w:bottom w:val="none" w:sz="0" w:space="0" w:color="auto"/>
        <w:right w:val="none" w:sz="0" w:space="0" w:color="auto"/>
      </w:divBdr>
    </w:div>
    <w:div w:id="1351906160">
      <w:bodyDiv w:val="1"/>
      <w:marLeft w:val="0"/>
      <w:marRight w:val="0"/>
      <w:marTop w:val="0"/>
      <w:marBottom w:val="0"/>
      <w:divBdr>
        <w:top w:val="none" w:sz="0" w:space="0" w:color="auto"/>
        <w:left w:val="none" w:sz="0" w:space="0" w:color="auto"/>
        <w:bottom w:val="none" w:sz="0" w:space="0" w:color="auto"/>
        <w:right w:val="none" w:sz="0" w:space="0" w:color="auto"/>
      </w:divBdr>
    </w:div>
    <w:div w:id="1609001423">
      <w:bodyDiv w:val="1"/>
      <w:marLeft w:val="0"/>
      <w:marRight w:val="0"/>
      <w:marTop w:val="0"/>
      <w:marBottom w:val="0"/>
      <w:divBdr>
        <w:top w:val="none" w:sz="0" w:space="0" w:color="auto"/>
        <w:left w:val="none" w:sz="0" w:space="0" w:color="auto"/>
        <w:bottom w:val="none" w:sz="0" w:space="0" w:color="auto"/>
        <w:right w:val="none" w:sz="0" w:space="0" w:color="auto"/>
      </w:divBdr>
    </w:div>
    <w:div w:id="1649245402">
      <w:bodyDiv w:val="1"/>
      <w:marLeft w:val="0"/>
      <w:marRight w:val="0"/>
      <w:marTop w:val="0"/>
      <w:marBottom w:val="0"/>
      <w:divBdr>
        <w:top w:val="none" w:sz="0" w:space="0" w:color="auto"/>
        <w:left w:val="none" w:sz="0" w:space="0" w:color="auto"/>
        <w:bottom w:val="none" w:sz="0" w:space="0" w:color="auto"/>
        <w:right w:val="none" w:sz="0" w:space="0" w:color="auto"/>
      </w:divBdr>
    </w:div>
    <w:div w:id="1749384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4.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6.png"/></Relationships>
</file>

<file path=word/_rels/endnotes.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23.emf"/><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679E9-4BFE-4A34-8DB5-886D5A06F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54</Pages>
  <Words>3068</Words>
  <Characters>17493</Characters>
  <Application>Microsoft Office Word</Application>
  <DocSecurity>0</DocSecurity>
  <Lines>145</Lines>
  <Paragraphs>41</Paragraphs>
  <ScaleCrop>false</ScaleCrop>
  <Company>GWZ</Company>
  <LinksUpToDate>false</LinksUpToDate>
  <CharactersWithSpaces>20520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祖康 汪</cp:lastModifiedBy>
  <cp:revision>26</cp:revision>
  <dcterms:created xsi:type="dcterms:W3CDTF">2022-12-28T06:33:00Z</dcterms:created>
  <dcterms:modified xsi:type="dcterms:W3CDTF">2024-07-01T07:05:00Z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C2B08812EE314F589E267A3827BACCE8</vt:lpwstr>
  </property>
</Properties>
</file>