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4E8C">
      <w:pPr>
        <w:pStyle w:val="44"/>
        <w:keepNext w:val="0"/>
        <w:keepLines w:val="0"/>
        <w:pageBreakBefore w:val="0"/>
        <w:widowControl w:val="0"/>
        <w:kinsoku/>
        <w:wordWrap/>
        <w:bidi w:val="0"/>
        <w:snapToGrid/>
        <w:textAlignment w:val="center"/>
        <w:rPr>
          <w:rFonts w:hint="eastAsia"/>
        </w:rPr>
      </w:pPr>
      <w:bookmarkStart w:id="0" w:name="OLE_LINK1"/>
      <w:bookmarkStart w:id="1" w:name="_GoBack"/>
      <w:r>
        <w:rPr>
          <w:rFonts w:hint="eastAsia"/>
        </w:rPr>
        <w:t>北京大學藏秦简牘《魯久次問數於陳起》札記兩則</w:t>
      </w:r>
    </w:p>
    <w:p w14:paraId="0F5E2E99">
      <w:pPr>
        <w:pStyle w:val="46"/>
        <w:keepNext w:val="0"/>
        <w:keepLines w:val="0"/>
        <w:pageBreakBefore w:val="0"/>
        <w:widowControl w:val="0"/>
        <w:kinsoku/>
        <w:wordWrap/>
        <w:bidi w:val="0"/>
        <w:snapToGrid/>
        <w:textAlignment w:val="center"/>
        <w:rPr>
          <w:rFonts w:hint="eastAsia"/>
        </w:rPr>
      </w:pPr>
      <w:r>
        <w:rPr>
          <w:rFonts w:hint="eastAsia"/>
        </w:rPr>
        <w:t>（首發）</w:t>
      </w:r>
    </w:p>
    <w:p w14:paraId="5C8D6821">
      <w:pPr>
        <w:pStyle w:val="46"/>
        <w:keepNext w:val="0"/>
        <w:keepLines w:val="0"/>
        <w:pageBreakBefore w:val="0"/>
        <w:widowControl w:val="0"/>
        <w:kinsoku/>
        <w:wordWrap/>
        <w:bidi w:val="0"/>
        <w:snapToGrid/>
        <w:textAlignment w:val="center"/>
        <w:rPr>
          <w:rFonts w:hint="default"/>
          <w:sz w:val="28"/>
          <w:szCs w:val="28"/>
        </w:rPr>
      </w:pPr>
      <w:r>
        <w:rPr>
          <w:rFonts w:hint="default"/>
          <w:sz w:val="28"/>
          <w:szCs w:val="28"/>
        </w:rPr>
        <w:t>楊健浩</w:t>
      </w:r>
    </w:p>
    <w:p w14:paraId="1B34E4F1">
      <w:pPr>
        <w:pStyle w:val="46"/>
        <w:keepNext w:val="0"/>
        <w:keepLines w:val="0"/>
        <w:pageBreakBefore w:val="0"/>
        <w:widowControl w:val="0"/>
        <w:kinsoku/>
        <w:wordWrap/>
        <w:bidi w:val="0"/>
        <w:snapToGrid/>
        <w:textAlignment w:val="center"/>
        <w:rPr>
          <w:rFonts w:hint="eastAsia"/>
        </w:rPr>
      </w:pPr>
      <w:r>
        <w:rPr>
          <w:rFonts w:hint="default"/>
          <w:sz w:val="28"/>
          <w:szCs w:val="28"/>
        </w:rPr>
        <w:t>湖北省社會科學院楚文化所</w:t>
      </w:r>
    </w:p>
    <w:p w14:paraId="5FEEEF05">
      <w:pPr>
        <w:pStyle w:val="38"/>
        <w:keepNext w:val="0"/>
        <w:keepLines w:val="0"/>
        <w:pageBreakBefore w:val="0"/>
        <w:widowControl w:val="0"/>
        <w:kinsoku/>
        <w:wordWrap/>
        <w:bidi w:val="0"/>
        <w:snapToGrid/>
        <w:ind w:firstLine="560"/>
        <w:jc w:val="center"/>
        <w:textAlignment w:val="center"/>
        <w:rPr>
          <w:rFonts w:hint="eastAsia"/>
          <w:szCs w:val="28"/>
        </w:rPr>
      </w:pPr>
    </w:p>
    <w:bookmarkEnd w:id="0"/>
    <w:p w14:paraId="2578C149">
      <w:pPr>
        <w:pStyle w:val="38"/>
        <w:keepNext w:val="0"/>
        <w:keepLines w:val="0"/>
        <w:pageBreakBefore w:val="0"/>
        <w:widowControl w:val="0"/>
        <w:kinsoku/>
        <w:wordWrap/>
        <w:bidi w:val="0"/>
        <w:snapToGrid/>
        <w:textAlignment w:val="center"/>
        <w:rPr>
          <w:rFonts w:hint="default"/>
          <w:lang w:eastAsia="zh-CN"/>
        </w:rPr>
      </w:pPr>
      <w:r>
        <w:rPr>
          <w:rFonts w:hint="eastAsia"/>
          <w:lang w:val="en-US" w:eastAsia="zh-CN"/>
        </w:rPr>
        <w:t>2009年香港馮燊均國學基金會捐贈北京大學入藏整理，2023年出版。這批簡牘字體大部分屬秦隸，有一小部分近於篆書，抄寫年代大約在秦始皇時期（前二二一到前二一〇）。《算書》甲種抄寫於竹簡“卷四”正面前段，共二百三十五枚簡。</w:t>
      </w:r>
      <w:r>
        <w:rPr>
          <w:rFonts w:hint="default"/>
          <w:lang w:eastAsia="zh-CN"/>
        </w:rPr>
        <w:t>《魯久次問數于陳起》</w:t>
      </w:r>
      <w:r>
        <w:rPr>
          <w:rStyle w:val="26"/>
          <w:rFonts w:hint="default"/>
          <w:lang w:eastAsia="zh-CN"/>
        </w:rPr>
        <w:endnoteReference w:id="0"/>
      </w:r>
      <w:r>
        <w:rPr>
          <w:rFonts w:hint="default"/>
          <w:lang w:eastAsia="zh-CN"/>
        </w:rPr>
        <w:t>位於《算書》甲種開頭三十二枚簡，本篇以魯久次與陳起關於數的起源、作用和意義展開，對陳起的數學思想具有高度的概括作用，原無標題，取篇首語定名爲《魯久次問數于陳起》。本文欲基於《魯久次問數於陳起》一篇的數理邏輯，針對簡一七正和簡二二正中“䰍”與“攻”字的解釋提出一些新的可能性理解以供參考。</w:t>
      </w:r>
    </w:p>
    <w:p w14:paraId="0A1DFFB3">
      <w:pPr>
        <w:pStyle w:val="38"/>
        <w:keepNext w:val="0"/>
        <w:keepLines w:val="0"/>
        <w:pageBreakBefore w:val="0"/>
        <w:widowControl w:val="0"/>
        <w:numPr>
          <w:ilvl w:val="0"/>
          <w:numId w:val="2"/>
        </w:numPr>
        <w:kinsoku/>
        <w:wordWrap/>
        <w:bidi w:val="0"/>
        <w:snapToGrid/>
        <w:textAlignment w:val="center"/>
        <w:rPr>
          <w:rFonts w:hint="eastAsia"/>
          <w:lang w:eastAsia="zh-CN"/>
        </w:rPr>
      </w:pPr>
      <w:r>
        <w:rPr>
          <w:rFonts w:hint="default"/>
          <w:lang w:eastAsia="zh-CN"/>
        </w:rPr>
        <w:t>《北京大學藏秦簡牘·卷四》簡一</w:t>
      </w:r>
      <w:r>
        <w:rPr>
          <w:rFonts w:hint="eastAsia"/>
          <w:lang w:val="en-US" w:eastAsia="zh-CN"/>
        </w:rPr>
        <w:t>五</w:t>
      </w:r>
      <w:r>
        <w:rPr>
          <w:rFonts w:hint="default"/>
          <w:lang w:eastAsia="zh-CN"/>
        </w:rPr>
        <w:t>正</w:t>
      </w:r>
      <w:r>
        <w:rPr>
          <w:rFonts w:hint="eastAsia"/>
          <w:lang w:eastAsia="zh-CN"/>
        </w:rPr>
        <w:t>——</w:t>
      </w:r>
      <w:r>
        <w:rPr>
          <w:rFonts w:hint="eastAsia"/>
          <w:lang w:val="en-US" w:eastAsia="zh-CN"/>
        </w:rPr>
        <w:t>簡二一正</w:t>
      </w:r>
      <w:r>
        <w:rPr>
          <w:rFonts w:hint="eastAsia"/>
          <w:lang w:eastAsia="zh-CN"/>
        </w:rPr>
        <w:t>：</w:t>
      </w:r>
    </w:p>
    <w:p w14:paraId="38E453A3">
      <w:pPr>
        <w:pStyle w:val="39"/>
        <w:keepNext w:val="0"/>
        <w:keepLines w:val="0"/>
        <w:pageBreakBefore w:val="0"/>
        <w:widowControl w:val="0"/>
        <w:kinsoku/>
        <w:wordWrap/>
        <w:bidi w:val="0"/>
        <w:snapToGrid/>
        <w:textAlignment w:val="center"/>
        <w:rPr>
          <w:rFonts w:hint="default"/>
          <w:lang w:val="en-US" w:eastAsia="zh-CN"/>
        </w:rPr>
      </w:pPr>
      <w:r>
        <w:rPr>
          <w:rFonts w:hint="eastAsia"/>
          <w:lang w:val="en-US" w:eastAsia="zh-CN"/>
        </w:rPr>
        <w:t>夫臨官蒞（立）政，立㡯（度）興吏（事），（一五正）數无不急者。不循睯（昏）墨（黑），喿（澡）漱絜（潔）齿，治官府，非數无以智（知）之。和均（一六正）五官，</w:t>
      </w:r>
      <w:r>
        <w:rPr>
          <w:rFonts w:hint="default"/>
          <w:lang w:val="en-US" w:eastAsia="zh-CN"/>
        </w:rPr>
        <w:t>米粟䰍（髹）桼（漆）</w:t>
      </w:r>
      <w:r>
        <w:rPr>
          <w:rFonts w:hint="eastAsia"/>
          <w:lang w:val="en-US" w:eastAsia="zh-CN"/>
        </w:rPr>
        <w:t>，升料&lt;</w:t>
      </w:r>
      <w:r>
        <w:rPr>
          <w:rFonts w:hint="eastAsia"/>
          <w:lang w:val="en-US"/>
        </w:rPr>
        <w:drawing>
          <wp:inline distT="0" distB="0" distL="0" distR="0">
            <wp:extent cx="158750" cy="147320"/>
            <wp:effectExtent l="0" t="0" r="6350" b="5080"/>
            <wp:docPr id="1026" name="图片 1" descr="屏幕截图 2025-03-27 165333"/>
            <wp:cNvGraphicFramePr/>
            <a:graphic xmlns:a="http://schemas.openxmlformats.org/drawingml/2006/main">
              <a:graphicData uri="http://schemas.openxmlformats.org/drawingml/2006/picture">
                <pic:pic xmlns:pic="http://schemas.openxmlformats.org/drawingml/2006/picture">
                  <pic:nvPicPr>
                    <pic:cNvPr id="1026" name="图片 1" descr="屏幕截图 2025-03-27 165333"/>
                    <pic:cNvPicPr/>
                  </pic:nvPicPr>
                  <pic:blipFill>
                    <a:blip r:embed="rId8" cstate="print"/>
                    <a:srcRect/>
                    <a:stretch>
                      <a:fillRect/>
                    </a:stretch>
                  </pic:blipFill>
                  <pic:spPr>
                    <a:xfrm>
                      <a:off x="0" y="0"/>
                      <a:ext cx="158750" cy="147320"/>
                    </a:xfrm>
                    <a:prstGeom prst="rect">
                      <a:avLst/>
                    </a:prstGeom>
                  </pic:spPr>
                </pic:pic>
              </a:graphicData>
            </a:graphic>
          </wp:inline>
        </w:drawing>
      </w:r>
      <w:r>
        <w:rPr>
          <w:rFonts w:hint="eastAsia"/>
          <w:lang w:val="en-US" w:eastAsia="zh-CN"/>
        </w:rPr>
        <w:t>&gt;斗甬（桶），非數无以命之。具爲甲兵筋革，折筋、靡（磨）矢、</w:t>
      </w:r>
      <w:r>
        <w:rPr>
          <w:rFonts w:hint="eastAsia"/>
          <w:lang w:val="en-US" w:eastAsia="zh-CN"/>
        </w:rPr>
        <w:drawing>
          <wp:inline distT="0" distB="0" distL="0" distR="0">
            <wp:extent cx="171450" cy="207645"/>
            <wp:effectExtent l="0" t="0" r="6350" b="8255"/>
            <wp:docPr id="1027" name="Image1" descr="屏幕截图 2025-03-27 170506"/>
            <wp:cNvGraphicFramePr/>
            <a:graphic xmlns:a="http://schemas.openxmlformats.org/drawingml/2006/main">
              <a:graphicData uri="http://schemas.openxmlformats.org/drawingml/2006/picture">
                <pic:pic xmlns:pic="http://schemas.openxmlformats.org/drawingml/2006/picture">
                  <pic:nvPicPr>
                    <pic:cNvPr id="1027" name="Image1" descr="屏幕截图 2025-03-27 170506"/>
                    <pic:cNvPicPr/>
                  </pic:nvPicPr>
                  <pic:blipFill>
                    <a:blip r:embed="rId9" cstate="print"/>
                    <a:srcRect/>
                    <a:stretch>
                      <a:fillRect/>
                    </a:stretch>
                  </pic:blipFill>
                  <pic:spPr>
                    <a:xfrm>
                      <a:off x="0" y="0"/>
                      <a:ext cx="171450" cy="207645"/>
                    </a:xfrm>
                    <a:prstGeom prst="rect">
                      <a:avLst/>
                    </a:prstGeom>
                  </pic:spPr>
                </pic:pic>
              </a:graphicData>
            </a:graphic>
          </wp:inline>
        </w:drawing>
      </w:r>
      <w:r>
        <w:rPr>
          <w:rFonts w:hint="eastAsia"/>
          <w:lang w:val="en-US" w:eastAsia="zh-CN"/>
        </w:rPr>
        <w:t>（栝）（一七正）</w:t>
      </w:r>
      <w:r>
        <w:rPr>
          <w:rFonts w:hint="eastAsia"/>
          <w:lang w:val="en-US" w:eastAsia="zh-CN"/>
        </w:rPr>
        <w:drawing>
          <wp:inline distT="0" distB="0" distL="0" distR="0">
            <wp:extent cx="150495" cy="175895"/>
            <wp:effectExtent l="0" t="0" r="1905" b="1905"/>
            <wp:docPr id="1028" name="Image1" descr="屏幕截图 2025-03-27 171139"/>
            <wp:cNvGraphicFramePr/>
            <a:graphic xmlns:a="http://schemas.openxmlformats.org/drawingml/2006/main">
              <a:graphicData uri="http://schemas.openxmlformats.org/drawingml/2006/picture">
                <pic:pic xmlns:pic="http://schemas.openxmlformats.org/drawingml/2006/picture">
                  <pic:nvPicPr>
                    <pic:cNvPr id="1028" name="Image1" descr="屏幕截图 2025-03-27 171139"/>
                    <pic:cNvPicPr/>
                  </pic:nvPicPr>
                  <pic:blipFill>
                    <a:blip r:embed="rId10" cstate="print"/>
                    <a:srcRect/>
                    <a:stretch>
                      <a:fillRect/>
                    </a:stretch>
                  </pic:blipFill>
                  <pic:spPr>
                    <a:xfrm>
                      <a:off x="0" y="0"/>
                      <a:ext cx="150495" cy="175895"/>
                    </a:xfrm>
                    <a:prstGeom prst="rect">
                      <a:avLst/>
                    </a:prstGeom>
                  </pic:spPr>
                </pic:pic>
              </a:graphicData>
            </a:graphic>
          </wp:inline>
        </w:drawing>
      </w:r>
      <w:r>
        <w:rPr>
          <w:rFonts w:hint="eastAsia"/>
          <w:lang w:val="en-US" w:eastAsia="zh-CN"/>
        </w:rPr>
        <w:t>，非數无以成之。段（鍛）鐵</w:t>
      </w:r>
      <w:r>
        <w:rPr>
          <w:rFonts w:hint="eastAsia"/>
          <w:lang w:val="en-US" w:eastAsia="zh-CN"/>
        </w:rPr>
        <w:drawing>
          <wp:inline distT="0" distB="0" distL="0" distR="0">
            <wp:extent cx="215265" cy="206375"/>
            <wp:effectExtent l="0" t="0" r="635" b="9525"/>
            <wp:docPr id="1029" name="Image1" descr="屏幕截图 2025-03-27 180717"/>
            <wp:cNvGraphicFramePr/>
            <a:graphic xmlns:a="http://schemas.openxmlformats.org/drawingml/2006/main">
              <a:graphicData uri="http://schemas.openxmlformats.org/drawingml/2006/picture">
                <pic:pic xmlns:pic="http://schemas.openxmlformats.org/drawingml/2006/picture">
                  <pic:nvPicPr>
                    <pic:cNvPr id="1029" name="Image1" descr="屏幕截图 2025-03-27 180717"/>
                    <pic:cNvPicPr/>
                  </pic:nvPicPr>
                  <pic:blipFill>
                    <a:blip r:embed="rId11" cstate="print"/>
                    <a:srcRect/>
                    <a:stretch>
                      <a:fillRect/>
                    </a:stretch>
                  </pic:blipFill>
                  <pic:spPr>
                    <a:xfrm>
                      <a:off x="0" y="0"/>
                      <a:ext cx="215265" cy="206375"/>
                    </a:xfrm>
                    <a:prstGeom prst="rect">
                      <a:avLst/>
                    </a:prstGeom>
                  </pic:spPr>
                </pic:pic>
              </a:graphicData>
            </a:graphic>
          </wp:inline>
        </w:drawing>
      </w:r>
      <w:r>
        <w:rPr>
          <w:rFonts w:hint="eastAsia"/>
          <w:lang w:val="en-US" w:eastAsia="zh-CN"/>
        </w:rPr>
        <w:t>（鑄）金，和赤白，爲</w:t>
      </w:r>
      <w:r>
        <w:rPr>
          <w:rFonts w:hint="eastAsia"/>
          <w:lang w:val="en-US" w:eastAsia="zh-CN"/>
        </w:rPr>
        <w:drawing>
          <wp:inline distT="0" distB="0" distL="0" distR="0">
            <wp:extent cx="191135" cy="145415"/>
            <wp:effectExtent l="0" t="0" r="12065" b="6985"/>
            <wp:docPr id="1030" name="图片 5" descr="Screenshot_20250405_134923_com.huawei.hsl_edit_412990844186980"/>
            <wp:cNvGraphicFramePr/>
            <a:graphic xmlns:a="http://schemas.openxmlformats.org/drawingml/2006/main">
              <a:graphicData uri="http://schemas.openxmlformats.org/drawingml/2006/picture">
                <pic:pic xmlns:pic="http://schemas.openxmlformats.org/drawingml/2006/picture">
                  <pic:nvPicPr>
                    <pic:cNvPr id="1030" name="图片 5" descr="Screenshot_20250405_134923_com.huawei.hsl_edit_412990844186980"/>
                    <pic:cNvPicPr/>
                  </pic:nvPicPr>
                  <pic:blipFill>
                    <a:blip r:embed="rId12" cstate="print"/>
                    <a:srcRect/>
                    <a:stretch>
                      <a:fillRect/>
                    </a:stretch>
                  </pic:blipFill>
                  <pic:spPr>
                    <a:xfrm>
                      <a:off x="0" y="0"/>
                      <a:ext cx="191135" cy="145415"/>
                    </a:xfrm>
                    <a:prstGeom prst="rect">
                      <a:avLst/>
                    </a:prstGeom>
                  </pic:spPr>
                </pic:pic>
              </a:graphicData>
            </a:graphic>
          </wp:inline>
        </w:drawing>
      </w:r>
      <w:r>
        <w:rPr>
          <w:rFonts w:hint="eastAsia"/>
          <w:lang w:val="en-US" w:eastAsia="zh-CN"/>
        </w:rPr>
        <w:t>（柔）剛，磬鐘竽瑟，六律五音（一八正），非數无以和之。錦繡文章，卒（萃）為七等，藍莖葉英，别爲五采（彩），非數无以（一九正）别之。外之城攻（功），斬離（籬）鑿豪（壕），材之方員（圓）細大，溥（薄）厚曼夾（狹），色（絕）契羨杼，斲（二〇正）鑿楅（斧）鋸，水繩規椐（矩）之所折斷，非數无以折之。高閣臺謝（榭），戈（弋）邋（獵）（二一正）置</w:t>
      </w:r>
      <w:r>
        <w:rPr>
          <w:rFonts w:hint="eastAsia"/>
          <w:lang w:val="en-US" w:eastAsia="zh-CN"/>
        </w:rPr>
        <w:drawing>
          <wp:inline distT="0" distB="0" distL="0" distR="0">
            <wp:extent cx="185420" cy="180340"/>
            <wp:effectExtent l="0" t="0" r="5080" b="10160"/>
            <wp:docPr id="1031" name="图片 7" descr="Screenshot_20250405_135139_com.huawei.hsl"/>
            <wp:cNvGraphicFramePr/>
            <a:graphic xmlns:a="http://schemas.openxmlformats.org/drawingml/2006/main">
              <a:graphicData uri="http://schemas.openxmlformats.org/drawingml/2006/picture">
                <pic:pic xmlns:pic="http://schemas.openxmlformats.org/drawingml/2006/picture">
                  <pic:nvPicPr>
                    <pic:cNvPr id="1031" name="图片 7" descr="Screenshot_20250405_135139_com.huawei.hsl"/>
                    <pic:cNvPicPr/>
                  </pic:nvPicPr>
                  <pic:blipFill>
                    <a:blip r:embed="rId13" cstate="print"/>
                    <a:srcRect/>
                    <a:stretch>
                      <a:fillRect/>
                    </a:stretch>
                  </pic:blipFill>
                  <pic:spPr>
                    <a:xfrm>
                      <a:off x="0" y="0"/>
                      <a:ext cx="185420" cy="180340"/>
                    </a:xfrm>
                    <a:prstGeom prst="rect">
                      <a:avLst/>
                    </a:prstGeom>
                  </pic:spPr>
                </pic:pic>
              </a:graphicData>
            </a:graphic>
          </wp:inline>
        </w:drawing>
      </w:r>
      <w:r>
        <w:rPr>
          <w:rFonts w:hint="eastAsia"/>
          <w:lang w:val="en-US" w:eastAsia="zh-CN"/>
        </w:rPr>
        <w:t>（放）御（禦），度池旱（岸）曲，非數无以置之。</w:t>
      </w:r>
    </w:p>
    <w:p w14:paraId="49406426">
      <w:pPr>
        <w:pStyle w:val="38"/>
        <w:keepNext w:val="0"/>
        <w:keepLines w:val="0"/>
        <w:pageBreakBefore w:val="0"/>
        <w:widowControl w:val="0"/>
        <w:kinsoku/>
        <w:wordWrap/>
        <w:bidi w:val="0"/>
        <w:snapToGrid/>
        <w:textAlignment w:val="center"/>
        <w:rPr>
          <w:rFonts w:hint="default"/>
          <w:lang w:val="en-US" w:eastAsia="zh-CN"/>
        </w:rPr>
      </w:pPr>
      <w:r>
        <w:rPr>
          <w:rFonts w:hint="eastAsia"/>
          <w:lang w:val="en-US" w:eastAsia="zh-CN"/>
        </w:rPr>
        <w:t>其中“米粟</w:t>
      </w:r>
      <w:r>
        <w:rPr>
          <w:rFonts w:hint="default"/>
          <w:lang w:val="en-US" w:eastAsia="zh-CN"/>
        </w:rPr>
        <w:t>䰍（髹）桼（漆）</w:t>
      </w:r>
      <w:r>
        <w:rPr>
          <w:rFonts w:hint="eastAsia"/>
          <w:lang w:val="en-US" w:eastAsia="zh-CN"/>
        </w:rPr>
        <w:t>”</w:t>
      </w:r>
      <w:r>
        <w:rPr>
          <w:rFonts w:hint="default"/>
          <w:lang w:val="en-US" w:eastAsia="zh-CN"/>
        </w:rPr>
        <w:t>此處應</w:t>
      </w:r>
      <w:r>
        <w:rPr>
          <w:rFonts w:hint="default"/>
          <w:lang w:eastAsia="zh-CN"/>
        </w:rPr>
        <w:t>爲</w:t>
      </w:r>
      <w:r>
        <w:rPr>
          <w:rFonts w:hint="default"/>
          <w:lang w:val="en-US" w:eastAsia="zh-CN"/>
        </w:rPr>
        <w:t>“䰍</w:t>
      </w:r>
      <w:r>
        <w:rPr>
          <w:rFonts w:hint="eastAsia"/>
          <w:lang w:val="en-US" w:eastAsia="zh-CN"/>
        </w:rPr>
        <w:t>桼</w:t>
      </w:r>
      <w:r>
        <w:rPr>
          <w:rFonts w:hint="default"/>
          <w:lang w:val="en-US" w:eastAsia="zh-CN"/>
        </w:rPr>
        <w:t>”。</w:t>
      </w:r>
    </w:p>
    <w:p w14:paraId="1078F83C">
      <w:pPr>
        <w:pStyle w:val="38"/>
        <w:keepNext w:val="0"/>
        <w:keepLines w:val="0"/>
        <w:pageBreakBefore w:val="0"/>
        <w:widowControl w:val="0"/>
        <w:kinsoku/>
        <w:wordWrap/>
        <w:bidi w:val="0"/>
        <w:snapToGrid/>
        <w:textAlignment w:val="center"/>
        <w:rPr>
          <w:rFonts w:hint="default"/>
          <w:lang w:eastAsia="zh-CN"/>
        </w:rPr>
      </w:pPr>
      <w:r>
        <w:rPr>
          <w:rFonts w:hint="default"/>
          <w:lang w:eastAsia="zh-CN"/>
        </w:rPr>
        <w:t>前人在釋讀時提出了多種不同的看法，整理者認爲应當釋讀爲“髹”字，方勇則認爲此處不應釋讀爲“髹”，就應當釋爲“䰍”字，表刷漆之意，“髹”爲“䰍”省形異體字。</w:t>
      </w:r>
      <w:r>
        <w:rPr>
          <w:rStyle w:val="26"/>
          <w:rFonts w:hint="default"/>
          <w:lang w:val="en-US" w:eastAsia="zh-CN"/>
        </w:rPr>
        <w:endnoteReference w:id="1"/>
      </w:r>
      <w:r>
        <w:rPr>
          <w:rFonts w:hint="default"/>
          <w:lang w:eastAsia="zh-CN"/>
        </w:rPr>
        <w:t>張宇鑫認同整理者觀點，認爲應當讀爲“髹”，表示赤黑色漆的意思。</w:t>
      </w:r>
      <w:r>
        <w:rPr>
          <w:rStyle w:val="26"/>
          <w:rFonts w:hint="default"/>
          <w:lang w:val="en-US"/>
        </w:rPr>
        <w:endnoteReference w:id="2"/>
      </w:r>
    </w:p>
    <w:p w14:paraId="43648E1F">
      <w:pPr>
        <w:pStyle w:val="38"/>
        <w:keepNext w:val="0"/>
        <w:keepLines w:val="0"/>
        <w:pageBreakBefore w:val="0"/>
        <w:widowControl w:val="0"/>
        <w:kinsoku/>
        <w:wordWrap/>
        <w:bidi w:val="0"/>
        <w:snapToGrid/>
        <w:textAlignment w:val="center"/>
        <w:rPr>
          <w:rFonts w:hint="default"/>
          <w:lang w:eastAsia="zh-CN"/>
        </w:rPr>
      </w:pPr>
      <w:r>
        <w:rPr>
          <w:rFonts w:hint="default"/>
          <w:lang w:val="en-US" w:eastAsia="zh-CN"/>
        </w:rPr>
        <w:t>《説文·桼部》：“䰍，桼也”</w:t>
      </w:r>
      <w:r>
        <w:rPr>
          <w:rStyle w:val="26"/>
          <w:rFonts w:hint="default"/>
          <w:lang w:val="en-US" w:eastAsia="zh-CN"/>
        </w:rPr>
        <w:endnoteReference w:id="3"/>
      </w:r>
      <w:r>
        <w:rPr>
          <w:rFonts w:hint="default"/>
          <w:lang w:val="en-US" w:eastAsia="zh-CN"/>
        </w:rPr>
        <w:t>。</w:t>
      </w:r>
      <w:r>
        <w:rPr>
          <w:rFonts w:hint="default"/>
          <w:lang w:eastAsia="zh-CN"/>
        </w:rPr>
        <w:t>“䰍”在此處若是單作刷漆之意講，此處文義很難貫通，應是由刷漆而延伸出的引申義。</w:t>
      </w:r>
    </w:p>
    <w:p w14:paraId="64ABFB75">
      <w:pPr>
        <w:pStyle w:val="38"/>
        <w:keepNext w:val="0"/>
        <w:keepLines w:val="0"/>
        <w:pageBreakBefore w:val="0"/>
        <w:widowControl w:val="0"/>
        <w:kinsoku/>
        <w:wordWrap/>
        <w:bidi w:val="0"/>
        <w:snapToGrid/>
        <w:textAlignment w:val="center"/>
        <w:rPr>
          <w:rFonts w:hint="default"/>
          <w:lang w:eastAsia="zh-CN"/>
        </w:rPr>
      </w:pPr>
      <w:r>
        <w:rPr>
          <w:rFonts w:hint="default"/>
          <w:lang w:eastAsia="zh-CN"/>
        </w:rPr>
        <w:t>首先後文“升料斗甬”均是表示容積的單位，且由小到大排列，因此可說“以數命之”，即用數來命名、使用這些單位；前文提到的“米粟”作爲需要被容積單位所計量的對象，因此也可以説“以數命之”；但此處依整理者与前人的句讀，“䰍（髹）桼”与“米粟”被斷爲一句，因此其必然有一定相關性，若是以“刷漆”之本意解釋“䰍（髹）桼”，則此句文意不通，且刷漆</w:t>
      </w:r>
      <w:r>
        <w:rPr>
          <w:rFonts w:hint="eastAsia"/>
          <w:lang w:val="en-US" w:eastAsia="zh-CN"/>
        </w:rPr>
        <w:t>与</w:t>
      </w:r>
      <w:r>
        <w:rPr>
          <w:rFonts w:hint="default"/>
          <w:lang w:eastAsia="zh-CN"/>
        </w:rPr>
        <w:t>數之間的關係</w:t>
      </w:r>
      <w:r>
        <w:rPr>
          <w:rFonts w:hint="eastAsia"/>
          <w:lang w:val="en-US" w:eastAsia="zh-CN"/>
        </w:rPr>
        <w:t>和</w:t>
      </w:r>
      <w:r>
        <w:rPr>
          <w:rFonts w:hint="default"/>
          <w:lang w:eastAsia="zh-CN"/>
        </w:rPr>
        <w:t>米粟与數之間的關係並不一致。其次，䰍、髹、髤三字相通，均有“刷漆”的本義，其意由作爲動作的“刷”和作爲賓語的“漆”構成，或單獨作爲名詞表示漆或一種顏色，因此“䰍”字作動詞時一般後面不重複跟隨表示“油漆”之意的字詞。《集韻·至韻》：“髤，以漆涂器。”</w:t>
      </w:r>
      <w:r>
        <w:rPr>
          <w:rStyle w:val="26"/>
          <w:rFonts w:hint="default"/>
          <w:lang w:eastAsia="zh-CN"/>
        </w:rPr>
        <w:endnoteReference w:id="4"/>
      </w:r>
      <w:r>
        <w:rPr>
          <w:rFonts w:hint="default"/>
          <w:lang w:eastAsia="zh-CN"/>
        </w:rPr>
        <w:t>睡虎地11號秦墓簡牘《效律》簡46-48:“工稟䰍它縣，到官試之，飲水，水減二百斗以上，貲工及吏將者各二甲；不盈二百斗以下到百斗，貲各一甲；不盈百斗以下到十斗，貲各一盾；不盈十斗以下及稟䰍縣中而負者，負之如故。</w:t>
      </w:r>
      <w:r>
        <w:rPr>
          <w:rStyle w:val="26"/>
          <w:rFonts w:hint="default"/>
          <w:lang w:eastAsia="zh-CN"/>
        </w:rPr>
        <w:endnoteReference w:id="5"/>
      </w:r>
      <w:r>
        <w:rPr>
          <w:rFonts w:hint="default"/>
          <w:lang w:eastAsia="zh-CN"/>
        </w:rPr>
        <w:t>”許慎《説文·桼部》云：“桼，木汁可以䰍物。”</w:t>
      </w:r>
      <w:r>
        <w:rPr>
          <w:rStyle w:val="26"/>
          <w:rFonts w:hint="default"/>
          <w:lang w:eastAsia="zh-CN"/>
        </w:rPr>
        <w:endnoteReference w:id="6"/>
      </w:r>
      <w:r>
        <w:rPr>
          <w:rFonts w:hint="default"/>
          <w:lang w:eastAsia="zh-CN"/>
        </w:rPr>
        <w:t>由上三則文例可見，“䰍”作動詞時後接被䰍之物，而不接表示“油漆”意的賓語。</w:t>
      </w:r>
    </w:p>
    <w:p w14:paraId="3BF62152">
      <w:pPr>
        <w:pStyle w:val="38"/>
        <w:keepNext w:val="0"/>
        <w:keepLines w:val="0"/>
        <w:pageBreakBefore w:val="0"/>
        <w:widowControl w:val="0"/>
        <w:kinsoku/>
        <w:wordWrap/>
        <w:bidi w:val="0"/>
        <w:snapToGrid/>
        <w:textAlignment w:val="center"/>
        <w:rPr>
          <w:rFonts w:hint="default"/>
          <w:lang w:eastAsia="zh-CN"/>
        </w:rPr>
      </w:pPr>
      <w:r>
        <w:rPr>
          <w:rFonts w:hint="default"/>
          <w:lang w:eastAsia="zh-CN"/>
        </w:rPr>
        <w:t>另一種情況是“䰍”作名詞時：睡虎地11號秦墓竹簡牘《效律》簡45:“殳、戟、弩，䰍</w:t>
      </w:r>
      <w:r>
        <w:rPr>
          <w:rFonts w:hint="default"/>
          <w:lang w:eastAsia="zh-CN"/>
        </w:rPr>
        <w:drawing>
          <wp:inline distT="0" distB="0" distL="0" distR="0">
            <wp:extent cx="210820" cy="215265"/>
            <wp:effectExtent l="0" t="0" r="5080" b="635"/>
            <wp:docPr id="1032" name="图片 1" descr="Screenshot_20250403_201100_com.huawei.browser_edit_307149358151047"/>
            <wp:cNvGraphicFramePr/>
            <a:graphic xmlns:a="http://schemas.openxmlformats.org/drawingml/2006/main">
              <a:graphicData uri="http://schemas.openxmlformats.org/drawingml/2006/picture">
                <pic:pic xmlns:pic="http://schemas.openxmlformats.org/drawingml/2006/picture">
                  <pic:nvPicPr>
                    <pic:cNvPr id="1032" name="图片 1" descr="Screenshot_20250403_201100_com.huawei.browser_edit_307149358151047"/>
                    <pic:cNvPicPr/>
                  </pic:nvPicPr>
                  <pic:blipFill>
                    <a:blip r:embed="rId14" cstate="print"/>
                    <a:srcRect/>
                    <a:stretch>
                      <a:fillRect/>
                    </a:stretch>
                  </pic:blipFill>
                  <pic:spPr>
                    <a:xfrm>
                      <a:off x="0" y="0"/>
                      <a:ext cx="210820" cy="215265"/>
                    </a:xfrm>
                    <a:prstGeom prst="rect">
                      <a:avLst/>
                    </a:prstGeom>
                  </pic:spPr>
                </pic:pic>
              </a:graphicData>
            </a:graphic>
          </wp:inline>
        </w:drawing>
      </w:r>
      <w:r>
        <w:rPr>
          <w:rFonts w:hint="default"/>
          <w:lang w:eastAsia="zh-CN"/>
        </w:rPr>
        <w:t>相易殹(也)。”</w:t>
      </w:r>
      <w:r>
        <w:rPr>
          <w:rStyle w:val="26"/>
          <w:rFonts w:hint="default" w:ascii="宋体" w:hAnsi="宋体" w:eastAsia="宋体" w:cs="Arial"/>
          <w:b w:val="0"/>
          <w:bCs w:val="0"/>
          <w:i w:val="0"/>
          <w:iCs w:val="0"/>
          <w:color w:val="auto"/>
          <w:kern w:val="2"/>
          <w:szCs w:val="24"/>
          <w:highlight w:val="none"/>
          <w:lang w:eastAsia="zh-CN" w:bidi="ar-SA"/>
        </w:rPr>
        <w:endnoteReference w:id="7"/>
      </w:r>
      <w:r>
        <w:rPr>
          <w:rFonts w:hint="default"/>
          <w:lang w:eastAsia="zh-CN"/>
        </w:rPr>
        <w:t>從整理者所說，“殳、戟、弩”三者爲三种武器，“䰍</w:t>
      </w:r>
      <w:r>
        <w:rPr>
          <w:rFonts w:hint="default"/>
          <w:lang w:eastAsia="zh-CN"/>
        </w:rPr>
        <w:drawing>
          <wp:inline distT="0" distB="0" distL="0" distR="0">
            <wp:extent cx="210820" cy="215265"/>
            <wp:effectExtent l="0" t="0" r="5080" b="635"/>
            <wp:docPr id="1033" name="图片 2" descr="Screenshot_20250403_201100_com.huawei.browser_edit_307149358151047"/>
            <wp:cNvGraphicFramePr/>
            <a:graphic xmlns:a="http://schemas.openxmlformats.org/drawingml/2006/main">
              <a:graphicData uri="http://schemas.openxmlformats.org/drawingml/2006/picture">
                <pic:pic xmlns:pic="http://schemas.openxmlformats.org/drawingml/2006/picture">
                  <pic:nvPicPr>
                    <pic:cNvPr id="1033" name="图片 2" descr="Screenshot_20250403_201100_com.huawei.browser_edit_307149358151047"/>
                    <pic:cNvPicPr/>
                  </pic:nvPicPr>
                  <pic:blipFill>
                    <a:blip r:embed="rId14" cstate="print"/>
                    <a:srcRect/>
                    <a:stretch>
                      <a:fillRect/>
                    </a:stretch>
                  </pic:blipFill>
                  <pic:spPr>
                    <a:xfrm>
                      <a:off x="0" y="0"/>
                      <a:ext cx="210820" cy="215265"/>
                    </a:xfrm>
                    <a:prstGeom prst="rect">
                      <a:avLst/>
                    </a:prstGeom>
                  </pic:spPr>
                </pic:pic>
              </a:graphicData>
            </a:graphic>
          </wp:inline>
        </w:drawing>
      </w:r>
      <w:r>
        <w:rPr>
          <w:rFonts w:hint="default"/>
          <w:lang w:eastAsia="zh-CN"/>
        </w:rPr>
        <w:t>”中“</w:t>
      </w:r>
      <w:r>
        <w:rPr>
          <w:rFonts w:hint="default"/>
          <w:lang w:eastAsia="zh-CN"/>
        </w:rPr>
        <w:drawing>
          <wp:inline distT="0" distB="0" distL="0" distR="0">
            <wp:extent cx="210820" cy="215265"/>
            <wp:effectExtent l="0" t="0" r="5080" b="635"/>
            <wp:docPr id="1034" name="图片 2" descr="Screenshot_20250403_201100_com.huawei.browser_edit_307149358151047"/>
            <wp:cNvGraphicFramePr/>
            <a:graphic xmlns:a="http://schemas.openxmlformats.org/drawingml/2006/main">
              <a:graphicData uri="http://schemas.openxmlformats.org/drawingml/2006/picture">
                <pic:pic xmlns:pic="http://schemas.openxmlformats.org/drawingml/2006/picture">
                  <pic:nvPicPr>
                    <pic:cNvPr id="1034" name="图片 2" descr="Screenshot_20250403_201100_com.huawei.browser_edit_307149358151047"/>
                    <pic:cNvPicPr/>
                  </pic:nvPicPr>
                  <pic:blipFill>
                    <a:blip r:embed="rId14" cstate="print"/>
                    <a:srcRect/>
                    <a:stretch>
                      <a:fillRect/>
                    </a:stretch>
                  </pic:blipFill>
                  <pic:spPr>
                    <a:xfrm>
                      <a:off x="0" y="0"/>
                      <a:ext cx="210820" cy="215265"/>
                    </a:xfrm>
                    <a:prstGeom prst="rect">
                      <a:avLst/>
                    </a:prstGeom>
                  </pic:spPr>
                </pic:pic>
              </a:graphicData>
            </a:graphic>
          </wp:inline>
        </w:drawing>
      </w:r>
      <w:r>
        <w:rPr>
          <w:rFonts w:hint="default"/>
          <w:lang w:eastAsia="zh-CN"/>
        </w:rPr>
        <w:t>”疑爲“彤”字，</w:t>
      </w:r>
      <w:r>
        <w:rPr>
          <w:rFonts w:hint="eastAsia"/>
          <w:lang w:val="en-US" w:eastAsia="zh-CN"/>
        </w:rPr>
        <w:t>是“丹”字的另一種寫法。“</w:t>
      </w:r>
      <w:r>
        <w:rPr>
          <w:rFonts w:hint="default"/>
          <w:lang w:eastAsia="zh-CN"/>
        </w:rPr>
        <w:t>䰍</w:t>
      </w:r>
      <w:r>
        <w:rPr>
          <w:rFonts w:hint="default"/>
          <w:lang w:eastAsia="zh-CN"/>
        </w:rPr>
        <w:drawing>
          <wp:inline distT="0" distB="0" distL="0" distR="0">
            <wp:extent cx="210820" cy="215265"/>
            <wp:effectExtent l="0" t="0" r="5080" b="635"/>
            <wp:docPr id="1035" name="图片 1" descr="Screenshot_20250403_201100_com.huawei.browser_edit_307149358151047"/>
            <wp:cNvGraphicFramePr/>
            <a:graphic xmlns:a="http://schemas.openxmlformats.org/drawingml/2006/main">
              <a:graphicData uri="http://schemas.openxmlformats.org/drawingml/2006/picture">
                <pic:pic xmlns:pic="http://schemas.openxmlformats.org/drawingml/2006/picture">
                  <pic:nvPicPr>
                    <pic:cNvPr id="1035" name="图片 1" descr="Screenshot_20250403_201100_com.huawei.browser_edit_307149358151047"/>
                    <pic:cNvPicPr/>
                  </pic:nvPicPr>
                  <pic:blipFill>
                    <a:blip r:embed="rId14" cstate="print"/>
                    <a:srcRect/>
                    <a:stretch>
                      <a:fillRect/>
                    </a:stretch>
                  </pic:blipFill>
                  <pic:spPr>
                    <a:xfrm>
                      <a:off x="0" y="0"/>
                      <a:ext cx="210820" cy="215265"/>
                    </a:xfrm>
                    <a:prstGeom prst="rect">
                      <a:avLst/>
                    </a:prstGeom>
                  </pic:spPr>
                </pic:pic>
              </a:graphicData>
            </a:graphic>
          </wp:inline>
        </w:drawing>
      </w:r>
      <w:r>
        <w:rPr>
          <w:rFonts w:hint="eastAsia"/>
          <w:lang w:eastAsia="zh-CN"/>
        </w:rPr>
        <w:t>”</w:t>
      </w:r>
      <w:r>
        <w:rPr>
          <w:rFonts w:hint="eastAsia"/>
          <w:lang w:val="en-US" w:eastAsia="zh-CN"/>
        </w:rPr>
        <w:t>此處與古書中所見“彤漆”、“丹漆”，均指紅黑兩種塗料。</w:t>
      </w:r>
      <w:r>
        <w:rPr>
          <w:rStyle w:val="26"/>
          <w:rFonts w:hint="eastAsia" w:ascii="宋体" w:hAnsi="宋体" w:cs="Arial"/>
          <w:b w:val="0"/>
          <w:bCs w:val="0"/>
          <w:i w:val="0"/>
          <w:iCs w:val="0"/>
          <w:color w:val="auto"/>
          <w:kern w:val="2"/>
          <w:szCs w:val="24"/>
          <w:highlight w:val="none"/>
          <w:lang w:val="en-US" w:eastAsia="zh-CN" w:bidi="ar-SA"/>
        </w:rPr>
        <w:endnoteReference w:id="8"/>
      </w:r>
      <w:r>
        <w:rPr>
          <w:rFonts w:hint="default"/>
          <w:lang w:eastAsia="zh-CN"/>
        </w:rPr>
        <w:t>此處“䰍”作名詞，就表達了黑顏色</w:t>
      </w:r>
      <w:r>
        <w:rPr>
          <w:rFonts w:hint="eastAsia"/>
          <w:lang w:val="en-US" w:eastAsia="zh-CN"/>
        </w:rPr>
        <w:t>塗料</w:t>
      </w:r>
      <w:r>
        <w:rPr>
          <w:rFonts w:hint="default"/>
          <w:lang w:eastAsia="zh-CN"/>
        </w:rPr>
        <w:t>的意思，其後“</w:t>
      </w:r>
      <w:r>
        <w:rPr>
          <w:rFonts w:hint="default"/>
          <w:lang w:eastAsia="zh-CN"/>
        </w:rPr>
        <w:drawing>
          <wp:inline distT="0" distB="0" distL="0" distR="0">
            <wp:extent cx="210820" cy="215265"/>
            <wp:effectExtent l="0" t="0" r="5080" b="635"/>
            <wp:docPr id="1036" name="图片 2" descr="Screenshot_20250403_201100_com.huawei.browser_edit_307149358151047"/>
            <wp:cNvGraphicFramePr/>
            <a:graphic xmlns:a="http://schemas.openxmlformats.org/drawingml/2006/main">
              <a:graphicData uri="http://schemas.openxmlformats.org/drawingml/2006/picture">
                <pic:pic xmlns:pic="http://schemas.openxmlformats.org/drawingml/2006/picture">
                  <pic:nvPicPr>
                    <pic:cNvPr id="1036" name="图片 2" descr="Screenshot_20250403_201100_com.huawei.browser_edit_307149358151047"/>
                    <pic:cNvPicPr/>
                  </pic:nvPicPr>
                  <pic:blipFill>
                    <a:blip r:embed="rId14" cstate="print"/>
                    <a:srcRect/>
                    <a:stretch>
                      <a:fillRect/>
                    </a:stretch>
                  </pic:blipFill>
                  <pic:spPr>
                    <a:xfrm>
                      <a:off x="0" y="0"/>
                      <a:ext cx="210820" cy="215265"/>
                    </a:xfrm>
                    <a:prstGeom prst="rect">
                      <a:avLst/>
                    </a:prstGeom>
                  </pic:spPr>
                </pic:pic>
              </a:graphicData>
            </a:graphic>
          </wp:inline>
        </w:drawing>
      </w:r>
      <w:r>
        <w:rPr>
          <w:rFonts w:hint="default"/>
          <w:lang w:eastAsia="zh-CN"/>
        </w:rPr>
        <w:t>”意爲紅色</w:t>
      </w:r>
      <w:r>
        <w:rPr>
          <w:rFonts w:hint="eastAsia"/>
          <w:lang w:val="en-US" w:eastAsia="zh-CN"/>
        </w:rPr>
        <w:t>塗料</w:t>
      </w:r>
      <w:r>
        <w:rPr>
          <w:rFonts w:hint="default"/>
          <w:lang w:eastAsia="zh-CN"/>
        </w:rPr>
        <w:t>，“䰍”與“</w:t>
      </w:r>
      <w:r>
        <w:rPr>
          <w:rFonts w:hint="default"/>
          <w:lang w:eastAsia="zh-CN"/>
        </w:rPr>
        <w:drawing>
          <wp:inline distT="0" distB="0" distL="0" distR="0">
            <wp:extent cx="210820" cy="215265"/>
            <wp:effectExtent l="0" t="0" r="5080" b="635"/>
            <wp:docPr id="1037" name="图片 2" descr="Screenshot_20250403_201100_com.huawei.browser_edit_307149358151047"/>
            <wp:cNvGraphicFramePr/>
            <a:graphic xmlns:a="http://schemas.openxmlformats.org/drawingml/2006/main">
              <a:graphicData uri="http://schemas.openxmlformats.org/drawingml/2006/picture">
                <pic:pic xmlns:pic="http://schemas.openxmlformats.org/drawingml/2006/picture">
                  <pic:nvPicPr>
                    <pic:cNvPr id="1037" name="图片 2" descr="Screenshot_20250403_201100_com.huawei.browser_edit_307149358151047"/>
                    <pic:cNvPicPr/>
                  </pic:nvPicPr>
                  <pic:blipFill>
                    <a:blip r:embed="rId14" cstate="print"/>
                    <a:srcRect/>
                    <a:stretch>
                      <a:fillRect/>
                    </a:stretch>
                  </pic:blipFill>
                  <pic:spPr>
                    <a:xfrm>
                      <a:off x="0" y="0"/>
                      <a:ext cx="210820" cy="215265"/>
                    </a:xfrm>
                    <a:prstGeom prst="rect">
                      <a:avLst/>
                    </a:prstGeom>
                  </pic:spPr>
                </pic:pic>
              </a:graphicData>
            </a:graphic>
          </wp:inline>
        </w:drawing>
      </w:r>
      <w:r>
        <w:rPr>
          <w:rFonts w:hint="default"/>
          <w:lang w:eastAsia="zh-CN"/>
        </w:rPr>
        <w:t>”相並列。在後世文獻中，髹漆一詞逐漸演變成爲了一種工藝，“髹”字在這樣的語境中表達的意思爲動詞“刷”。因此</w:t>
      </w:r>
      <w:r>
        <w:rPr>
          <w:rFonts w:hint="eastAsia"/>
          <w:lang w:eastAsia="zh-CN"/>
        </w:rPr>
        <w:t>，</w:t>
      </w:r>
      <w:r>
        <w:rPr>
          <w:rFonts w:hint="default"/>
          <w:lang w:eastAsia="zh-CN"/>
        </w:rPr>
        <w:t>此處若“䰍”表示刷漆之意，“桼”爲漆意，則此處賓語贅余，且此句邏輯不通。</w:t>
      </w:r>
    </w:p>
    <w:p w14:paraId="68DD7CE7">
      <w:pPr>
        <w:pStyle w:val="38"/>
        <w:keepNext w:val="0"/>
        <w:keepLines w:val="0"/>
        <w:pageBreakBefore w:val="0"/>
        <w:widowControl w:val="0"/>
        <w:kinsoku/>
        <w:wordWrap/>
        <w:bidi w:val="0"/>
        <w:snapToGrid/>
        <w:textAlignment w:val="center"/>
        <w:rPr>
          <w:rFonts w:hint="default"/>
          <w:lang w:eastAsia="zh-CN"/>
        </w:rPr>
      </w:pPr>
      <w:r>
        <w:rPr>
          <w:rFonts w:hint="default"/>
          <w:lang w:val="en-US" w:eastAsia="zh-CN"/>
        </w:rPr>
        <w:t>結合前後文語境，在陳起所列出的這幾條</w:t>
      </w:r>
      <w:r>
        <w:rPr>
          <w:rFonts w:hint="eastAsia"/>
          <w:lang w:val="en-US" w:eastAsia="zh-CN"/>
        </w:rPr>
        <w:t>“</w:t>
      </w:r>
      <w:r>
        <w:rPr>
          <w:rFonts w:hint="default"/>
          <w:lang w:val="en-US" w:eastAsia="zh-CN"/>
        </w:rPr>
        <w:t>數</w:t>
      </w:r>
      <w:r>
        <w:rPr>
          <w:rFonts w:hint="eastAsia"/>
          <w:lang w:val="en-US" w:eastAsia="zh-CN"/>
        </w:rPr>
        <w:t>”</w:t>
      </w:r>
      <w:r>
        <w:rPr>
          <w:rFonts w:hint="default"/>
          <w:lang w:val="en-US" w:eastAsia="zh-CN"/>
        </w:rPr>
        <w:t>對於生產生活的必要性</w:t>
      </w:r>
      <w:r>
        <w:rPr>
          <w:rFonts w:hint="eastAsia"/>
          <w:lang w:val="en-US" w:eastAsia="zh-CN"/>
        </w:rPr>
        <w:t>之</w:t>
      </w:r>
      <w:r>
        <w:rPr>
          <w:rFonts w:hint="default"/>
          <w:lang w:val="en-US" w:eastAsia="zh-CN"/>
        </w:rPr>
        <w:t>中，可以發現一個普遍規律，每一句都是由具體到抽象，由數在自然或人</w:t>
      </w:r>
      <w:r>
        <w:rPr>
          <w:rFonts w:hint="default"/>
          <w:lang w:eastAsia="zh-CN"/>
        </w:rPr>
        <w:t>爲</w:t>
      </w:r>
      <w:r>
        <w:rPr>
          <w:rFonts w:hint="default"/>
          <w:lang w:val="en-US" w:eastAsia="zh-CN"/>
        </w:rPr>
        <w:t>事物中的存在總結數的作用，且都存在以具象</w:t>
      </w:r>
      <w:r>
        <w:rPr>
          <w:rFonts w:hint="eastAsia"/>
          <w:lang w:val="en-US" w:eastAsia="zh-CN"/>
        </w:rPr>
        <w:t>事物</w:t>
      </w:r>
      <w:r>
        <w:rPr>
          <w:rFonts w:hint="default"/>
          <w:lang w:val="en-US" w:eastAsia="zh-CN"/>
        </w:rPr>
        <w:t>代指抽象</w:t>
      </w:r>
      <w:r>
        <w:rPr>
          <w:rFonts w:hint="eastAsia"/>
          <w:lang w:val="en-US" w:eastAsia="zh-CN"/>
        </w:rPr>
        <w:t>概念</w:t>
      </w:r>
      <w:r>
        <w:rPr>
          <w:rFonts w:hint="default"/>
          <w:lang w:val="en-US" w:eastAsia="zh-CN"/>
        </w:rPr>
        <w:t>的情況。因此這句也是指數在自然事物或人</w:t>
      </w:r>
      <w:r>
        <w:rPr>
          <w:rFonts w:hint="default"/>
          <w:lang w:eastAsia="zh-CN"/>
        </w:rPr>
        <w:t>爲</w:t>
      </w:r>
      <w:r>
        <w:rPr>
          <w:rFonts w:hint="default"/>
          <w:lang w:val="en-US" w:eastAsia="zh-CN"/>
        </w:rPr>
        <w:t>事物存在的表現，完整理解該句需要找到其背後的數學聯繫。</w:t>
      </w:r>
      <w:r>
        <w:rPr>
          <w:rFonts w:hint="default"/>
          <w:lang w:eastAsia="zh-CN"/>
        </w:rPr>
        <w:t>這種數學聯繫應當貫穿于“五官”、“米粟䰍桼”、“升料&lt;</w:t>
      </w:r>
      <w:r>
        <w:rPr>
          <w:rFonts w:hint="eastAsia"/>
          <w:lang w:val="en-US"/>
        </w:rPr>
        <w:drawing>
          <wp:inline distT="0" distB="0" distL="0" distR="0">
            <wp:extent cx="158750" cy="147320"/>
            <wp:effectExtent l="0" t="0" r="6350" b="5080"/>
            <wp:docPr id="1038" name="图片 1" descr="屏幕截图 2025-03-27 165333"/>
            <wp:cNvGraphicFramePr/>
            <a:graphic xmlns:a="http://schemas.openxmlformats.org/drawingml/2006/main">
              <a:graphicData uri="http://schemas.openxmlformats.org/drawingml/2006/picture">
                <pic:pic xmlns:pic="http://schemas.openxmlformats.org/drawingml/2006/picture">
                  <pic:nvPicPr>
                    <pic:cNvPr id="1038" name="图片 1" descr="屏幕截图 2025-03-27 165333"/>
                    <pic:cNvPicPr/>
                  </pic:nvPicPr>
                  <pic:blipFill>
                    <a:blip r:embed="rId8" cstate="print"/>
                    <a:srcRect/>
                    <a:stretch>
                      <a:fillRect/>
                    </a:stretch>
                  </pic:blipFill>
                  <pic:spPr>
                    <a:xfrm>
                      <a:off x="0" y="0"/>
                      <a:ext cx="158750" cy="147320"/>
                    </a:xfrm>
                    <a:prstGeom prst="rect">
                      <a:avLst/>
                    </a:prstGeom>
                  </pic:spPr>
                </pic:pic>
              </a:graphicData>
            </a:graphic>
          </wp:inline>
        </w:drawing>
      </w:r>
      <w:r>
        <w:rPr>
          <w:rFonts w:hint="default"/>
          <w:lang w:eastAsia="zh-CN"/>
        </w:rPr>
        <w:t>&gt;斗甬（桶）”三者之中。</w:t>
      </w:r>
    </w:p>
    <w:p w14:paraId="35DA56EE">
      <w:pPr>
        <w:pStyle w:val="38"/>
        <w:keepNext w:val="0"/>
        <w:keepLines w:val="0"/>
        <w:pageBreakBefore w:val="0"/>
        <w:widowControl w:val="0"/>
        <w:kinsoku/>
        <w:wordWrap/>
        <w:bidi w:val="0"/>
        <w:snapToGrid/>
        <w:textAlignment w:val="center"/>
        <w:rPr>
          <w:rFonts w:hint="default"/>
          <w:lang w:val="en-US" w:eastAsia="zh-CN"/>
        </w:rPr>
      </w:pPr>
      <w:r>
        <w:rPr>
          <w:rFonts w:hint="default"/>
          <w:lang w:val="en-US" w:eastAsia="zh-CN"/>
        </w:rPr>
        <w:t>此處“䰍（髹）”爲由刷漆</w:t>
      </w:r>
      <w:r>
        <w:rPr>
          <w:rFonts w:hint="eastAsia"/>
          <w:lang w:val="en-US" w:eastAsia="zh-CN"/>
        </w:rPr>
        <w:t>之義</w:t>
      </w:r>
      <w:r>
        <w:rPr>
          <w:rFonts w:hint="default"/>
          <w:lang w:val="en-US" w:eastAsia="zh-CN"/>
        </w:rPr>
        <w:t>延伸而成的</w:t>
      </w:r>
      <w:r>
        <w:rPr>
          <w:rFonts w:hint="eastAsia"/>
          <w:lang w:val="en-US" w:eastAsia="zh-CN"/>
        </w:rPr>
        <w:t>產品</w:t>
      </w:r>
      <w:r>
        <w:rPr>
          <w:rFonts w:hint="default"/>
          <w:lang w:val="en-US" w:eastAsia="zh-CN"/>
        </w:rPr>
        <w:t>，而後面的</w:t>
      </w:r>
      <w:r>
        <w:rPr>
          <w:rFonts w:hint="eastAsia"/>
          <w:lang w:val="en-US" w:eastAsia="zh-CN"/>
        </w:rPr>
        <w:t>“</w:t>
      </w:r>
      <w:r>
        <w:rPr>
          <w:rFonts w:hint="default"/>
          <w:lang w:val="en-US" w:eastAsia="zh-CN"/>
        </w:rPr>
        <w:t>桼</w:t>
      </w:r>
      <w:r>
        <w:rPr>
          <w:rFonts w:hint="eastAsia"/>
          <w:lang w:val="en-US" w:eastAsia="zh-CN"/>
        </w:rPr>
        <w:t>”</w:t>
      </w:r>
      <w:r>
        <w:rPr>
          <w:rFonts w:hint="default"/>
          <w:lang w:eastAsia="zh-CN"/>
        </w:rPr>
        <w:t>則</w:t>
      </w:r>
      <w:r>
        <w:rPr>
          <w:rFonts w:hint="default"/>
          <w:lang w:val="en-US" w:eastAsia="zh-CN"/>
        </w:rPr>
        <w:t>爲由漆樹木汁延伸而成的</w:t>
      </w:r>
      <w:r>
        <w:rPr>
          <w:rFonts w:hint="eastAsia"/>
          <w:lang w:val="en-US" w:eastAsia="zh-CN"/>
        </w:rPr>
        <w:t>原料</w:t>
      </w:r>
      <w:r>
        <w:rPr>
          <w:rFonts w:hint="default"/>
          <w:lang w:val="en-US" w:eastAsia="zh-CN"/>
        </w:rPr>
        <w:t>。《說文》：“米，粟實也。”米爲粟或其它穀物經過加工工序“舂”而得到的產品，</w:t>
      </w:r>
      <w:r>
        <w:rPr>
          <w:rFonts w:hint="eastAsia"/>
          <w:lang w:val="en-US" w:eastAsia="zh-CN"/>
        </w:rPr>
        <w:t>《算書甲種》</w:t>
      </w:r>
      <w:r>
        <w:rPr>
          <w:rFonts w:hint="default"/>
          <w:lang w:val="en-US" w:eastAsia="zh-CN"/>
        </w:rPr>
        <w:t>後文172簡</w:t>
      </w:r>
      <w:r>
        <w:rPr>
          <w:rFonts w:hint="default"/>
          <w:lang w:eastAsia="zh-CN"/>
        </w:rPr>
        <w:t>：“以米求粟，五其米，三成一。”173簡：“以粟求米，三其粟，五成一。”</w:t>
      </w:r>
      <w:r>
        <w:rPr>
          <w:rFonts w:hint="default"/>
          <w:lang w:val="en-US" w:eastAsia="zh-CN"/>
        </w:rPr>
        <w:t>也提到了二者</w:t>
      </w:r>
      <w:r>
        <w:rPr>
          <w:rFonts w:hint="eastAsia"/>
          <w:lang w:val="en-US" w:eastAsia="zh-CN"/>
        </w:rPr>
        <w:t>相互</w:t>
      </w:r>
      <w:r>
        <w:rPr>
          <w:rFonts w:hint="default"/>
          <w:lang w:val="en-US" w:eastAsia="zh-CN"/>
        </w:rPr>
        <w:t>轉化的數量關係</w:t>
      </w:r>
      <w:r>
        <w:rPr>
          <w:rFonts w:hint="default"/>
          <w:lang w:eastAsia="zh-CN"/>
        </w:rPr>
        <w:t>。原料粟經過“舂”的加工步驟成爲可以食用的初級農產品米（糲米），在這個過程中，原料和產品的比例是5：3</w:t>
      </w:r>
      <w:r>
        <w:rPr>
          <w:rFonts w:hint="eastAsia"/>
          <w:lang w:eastAsia="zh-CN"/>
        </w:rPr>
        <w:t>，</w:t>
      </w:r>
      <w:r>
        <w:rPr>
          <w:rFonts w:hint="default"/>
          <w:lang w:eastAsia="zh-CN"/>
        </w:rPr>
        <w:t>即成品率爲60%，與此類似，後面的幾枚簡記載的也是幾種農業產品之間的成品率，如用原料米（糲米）生產更高一級的農產品</w:t>
      </w:r>
      <w:r>
        <w:rPr>
          <w:rFonts w:hint="eastAsia"/>
          <w:lang w:eastAsia="zh-CN"/>
        </w:rPr>
        <w:t>“</w:t>
      </w:r>
      <w:r>
        <w:rPr>
          <w:rFonts w:hint="default"/>
          <w:lang w:eastAsia="zh-CN"/>
        </w:rPr>
        <w:t>粺</w:t>
      </w:r>
      <w:r>
        <w:rPr>
          <w:rFonts w:hint="eastAsia"/>
          <w:lang w:eastAsia="zh-CN"/>
        </w:rPr>
        <w:t>”</w:t>
      </w:r>
      <w:r>
        <w:rPr>
          <w:rFonts w:hint="default"/>
          <w:lang w:eastAsia="zh-CN"/>
        </w:rPr>
        <w:t>的成品率是90%。米和粟之間的數學關係同樣還可見於張家山247號墓漢簡《算數書》：“粟五爲米三；米十爲粺九，爲毀（毇）八。</w:t>
      </w:r>
      <w:r>
        <w:rPr>
          <w:rStyle w:val="26"/>
          <w:rFonts w:hint="default" w:ascii="宋体" w:hAnsi="宋体" w:cs="Arial"/>
          <w:b w:val="0"/>
          <w:bCs w:val="0"/>
          <w:i w:val="0"/>
          <w:iCs w:val="0"/>
          <w:color w:val="auto"/>
          <w:kern w:val="2"/>
          <w:szCs w:val="24"/>
          <w:highlight w:val="none"/>
          <w:lang w:eastAsia="zh-CN" w:bidi="ar-SA"/>
        </w:rPr>
        <w:endnoteReference w:id="9"/>
      </w:r>
      <w:r>
        <w:rPr>
          <w:rFonts w:hint="default"/>
          <w:lang w:eastAsia="zh-CN"/>
        </w:rPr>
        <w:t>”在《算數書》中記載的</w:t>
      </w:r>
      <w:r>
        <w:rPr>
          <w:rFonts w:hint="eastAsia"/>
          <w:lang w:eastAsia="zh-CN"/>
        </w:rPr>
        <w:t>“</w:t>
      </w:r>
      <w:r>
        <w:rPr>
          <w:rFonts w:hint="default"/>
          <w:lang w:eastAsia="zh-CN"/>
        </w:rPr>
        <w:t>米</w:t>
      </w:r>
      <w:r>
        <w:rPr>
          <w:rFonts w:hint="eastAsia"/>
          <w:lang w:eastAsia="zh-CN"/>
        </w:rPr>
        <w:t>”</w:t>
      </w:r>
      <w:r>
        <w:rPr>
          <w:rFonts w:hint="default"/>
          <w:lang w:eastAsia="zh-CN"/>
        </w:rPr>
        <w:t>和</w:t>
      </w:r>
      <w:r>
        <w:rPr>
          <w:rFonts w:hint="eastAsia"/>
          <w:lang w:eastAsia="zh-CN"/>
        </w:rPr>
        <w:t>“</w:t>
      </w:r>
      <w:r>
        <w:rPr>
          <w:rFonts w:hint="default"/>
          <w:lang w:eastAsia="zh-CN"/>
        </w:rPr>
        <w:t>粺</w:t>
      </w:r>
      <w:r>
        <w:rPr>
          <w:rFonts w:hint="eastAsia"/>
          <w:lang w:eastAsia="zh-CN"/>
        </w:rPr>
        <w:t>”</w:t>
      </w:r>
      <w:r>
        <w:rPr>
          <w:rFonts w:hint="default"/>
          <w:lang w:eastAsia="zh-CN"/>
        </w:rPr>
        <w:t>以及</w:t>
      </w:r>
      <w:r>
        <w:rPr>
          <w:rFonts w:hint="eastAsia"/>
          <w:lang w:eastAsia="zh-CN"/>
        </w:rPr>
        <w:t>“</w:t>
      </w:r>
      <w:r>
        <w:rPr>
          <w:rFonts w:hint="default"/>
          <w:lang w:eastAsia="zh-CN"/>
        </w:rPr>
        <w:t>毇</w:t>
      </w:r>
      <w:r>
        <w:rPr>
          <w:rFonts w:hint="eastAsia"/>
          <w:lang w:eastAsia="zh-CN"/>
        </w:rPr>
        <w:t>”</w:t>
      </w:r>
      <w:r>
        <w:rPr>
          <w:rFonts w:hint="default"/>
          <w:lang w:eastAsia="zh-CN"/>
        </w:rPr>
        <w:t>的成品率與《算書甲種》中一致。《睡虎地秦墓竹簡·效律》中記載：“爲粟廿斗，舂爲米十斗。</w:t>
      </w:r>
      <w:r>
        <w:rPr>
          <w:rStyle w:val="26"/>
          <w:rFonts w:hint="default" w:ascii="宋体" w:hAnsi="宋体" w:cs="Arial"/>
          <w:b w:val="0"/>
          <w:bCs w:val="0"/>
          <w:i w:val="0"/>
          <w:iCs w:val="0"/>
          <w:color w:val="auto"/>
          <w:kern w:val="2"/>
          <w:szCs w:val="24"/>
          <w:highlight w:val="none"/>
          <w:lang w:eastAsia="zh-CN" w:bidi="ar-SA"/>
        </w:rPr>
        <w:endnoteReference w:id="10"/>
      </w:r>
      <w:r>
        <w:rPr>
          <w:rFonts w:hint="default"/>
          <w:lang w:eastAsia="zh-CN"/>
        </w:rPr>
        <w:t>”在這裡粟舂爲米的成品率爲50%，相比前兩條記載有所降低，但是其數量關係依然相對穩定。因此米與粟在數學語境下存在一種固定的數學關係，即原料与成品的轉化關係</w:t>
      </w:r>
      <w:r>
        <w:rPr>
          <w:rFonts w:hint="eastAsia"/>
          <w:lang w:eastAsia="zh-CN"/>
        </w:rPr>
        <w:t>，</w:t>
      </w:r>
      <w:r>
        <w:rPr>
          <w:rFonts w:hint="eastAsia"/>
          <w:lang w:val="en-US" w:eastAsia="zh-CN"/>
        </w:rPr>
        <w:t>這種原料與成品的轉化關係在勞動生產過程中是相當重要的。</w:t>
      </w:r>
      <w:r>
        <w:rPr>
          <w:rFonts w:hint="default"/>
          <w:lang w:eastAsia="zh-CN"/>
        </w:rPr>
        <w:t>从</w:t>
      </w:r>
      <w:r>
        <w:rPr>
          <w:rFonts w:hint="eastAsia"/>
          <w:lang w:eastAsia="zh-CN"/>
        </w:rPr>
        <w:t>“</w:t>
      </w:r>
      <w:r>
        <w:rPr>
          <w:rFonts w:hint="eastAsia"/>
          <w:lang w:val="en-US" w:eastAsia="zh-CN"/>
        </w:rPr>
        <w:t>䰍</w:t>
      </w:r>
      <w:r>
        <w:rPr>
          <w:rFonts w:hint="eastAsia"/>
          <w:lang w:eastAsia="zh-CN"/>
        </w:rPr>
        <w:t>”</w:t>
      </w:r>
      <w:r>
        <w:rPr>
          <w:rFonts w:hint="eastAsia"/>
          <w:lang w:val="en-US" w:eastAsia="zh-CN"/>
        </w:rPr>
        <w:t>與“桼”的角度上來說</w:t>
      </w:r>
      <w:r>
        <w:rPr>
          <w:rFonts w:hint="default"/>
          <w:lang w:eastAsia="zh-CN"/>
        </w:rPr>
        <w:t>，刷漆需要將桼汁與水通過一定比例進行調和，</w:t>
      </w:r>
      <w:r>
        <w:rPr>
          <w:rFonts w:hint="eastAsia"/>
          <w:lang w:val="en-US" w:eastAsia="zh-CN"/>
        </w:rPr>
        <w:t>且前文中“䰍”在</w:t>
      </w:r>
      <w:r>
        <w:rPr>
          <w:rFonts w:hint="default"/>
          <w:lang w:eastAsia="zh-CN"/>
        </w:rPr>
        <w:t>《睡虎地秦簡·效律》</w:t>
      </w:r>
      <w:r>
        <w:rPr>
          <w:rFonts w:hint="eastAsia"/>
          <w:lang w:val="en-US" w:eastAsia="zh-CN"/>
        </w:rPr>
        <w:t>簡45</w:t>
      </w:r>
      <w:r>
        <w:rPr>
          <w:rFonts w:hint="default"/>
          <w:lang w:eastAsia="zh-CN"/>
        </w:rPr>
        <w:t>中</w:t>
      </w:r>
      <w:r>
        <w:rPr>
          <w:rFonts w:hint="eastAsia"/>
          <w:lang w:val="en-US" w:eastAsia="zh-CN"/>
        </w:rPr>
        <w:t>作黑顏色塗料之意理解。</w:t>
      </w:r>
      <w:r>
        <w:rPr>
          <w:rFonts w:hint="default"/>
          <w:lang w:eastAsia="zh-CN"/>
        </w:rPr>
        <w:t>因此</w:t>
      </w:r>
      <w:r>
        <w:rPr>
          <w:rFonts w:hint="eastAsia"/>
          <w:lang w:val="en-US" w:eastAsia="zh-CN"/>
        </w:rPr>
        <w:t>含有用法和產品之意的</w:t>
      </w:r>
      <w:r>
        <w:rPr>
          <w:rFonts w:hint="default"/>
          <w:lang w:eastAsia="zh-CN"/>
        </w:rPr>
        <w:t>“䰍”和作爲</w:t>
      </w:r>
      <w:r>
        <w:rPr>
          <w:rFonts w:hint="eastAsia"/>
          <w:lang w:val="en-US" w:eastAsia="zh-CN"/>
        </w:rPr>
        <w:t>原料</w:t>
      </w:r>
      <w:r>
        <w:rPr>
          <w:rFonts w:hint="default"/>
          <w:lang w:eastAsia="zh-CN"/>
        </w:rPr>
        <w:t>桼汁的“桼”存在數量關係。上文所提到《睡虎地秦簡·效律》</w:t>
      </w:r>
      <w:r>
        <w:rPr>
          <w:rFonts w:hint="eastAsia"/>
          <w:lang w:val="en-US" w:eastAsia="zh-CN"/>
        </w:rPr>
        <w:t>簡46-48</w:t>
      </w:r>
      <w:r>
        <w:rPr>
          <w:rFonts w:hint="default"/>
          <w:lang w:eastAsia="zh-CN"/>
        </w:rPr>
        <w:t>中“工稟䰍它縣，到官試之，飲水，水減二百斗以上，貲工及吏將者各二甲；不盈二百斗以下到百斗，貲各一甲；不盈百斗以下到十斗，貲各一盾；不盈十斗以下及稟䰍縣中而負者，負之如故。</w:t>
      </w:r>
      <w:r>
        <w:rPr>
          <w:rStyle w:val="26"/>
          <w:rFonts w:hint="default" w:ascii="宋体" w:hAnsi="宋体" w:eastAsia="宋体" w:cs="Arial"/>
          <w:b w:val="0"/>
          <w:bCs w:val="0"/>
          <w:i w:val="0"/>
          <w:iCs w:val="0"/>
          <w:color w:val="auto"/>
          <w:kern w:val="2"/>
          <w:szCs w:val="24"/>
          <w:highlight w:val="none"/>
          <w:lang w:eastAsia="zh-CN" w:bidi="ar-SA"/>
        </w:rPr>
        <w:endnoteReference w:id="11"/>
      </w:r>
      <w:r>
        <w:rPr>
          <w:rFonts w:hint="default"/>
          <w:lang w:eastAsia="zh-CN"/>
        </w:rPr>
        <w:t>”一句中也提到了</w:t>
      </w:r>
      <w:r>
        <w:rPr>
          <w:rFonts w:hint="eastAsia"/>
          <w:lang w:val="en-US" w:eastAsia="zh-CN"/>
        </w:rPr>
        <w:t>在檢查漆的質量的過程中</w:t>
      </w:r>
      <w:r>
        <w:rPr>
          <w:rFonts w:hint="default"/>
          <w:lang w:eastAsia="zh-CN"/>
        </w:rPr>
        <w:t>水与桼的比例問題，通過</w:t>
      </w:r>
      <w:r>
        <w:rPr>
          <w:rFonts w:hint="eastAsia"/>
          <w:lang w:eastAsia="zh-CN"/>
        </w:rPr>
        <w:t>“</w:t>
      </w:r>
      <w:r>
        <w:rPr>
          <w:rFonts w:hint="eastAsia"/>
          <w:lang w:val="en-US" w:eastAsia="zh-CN"/>
        </w:rPr>
        <w:t>飲水</w:t>
      </w:r>
      <w:r>
        <w:rPr>
          <w:rFonts w:hint="eastAsia"/>
          <w:lang w:eastAsia="zh-CN"/>
        </w:rPr>
        <w:t>”</w:t>
      </w:r>
      <w:r>
        <w:rPr>
          <w:rFonts w:hint="eastAsia"/>
          <w:lang w:val="en-US" w:eastAsia="zh-CN"/>
        </w:rPr>
        <w:t>這種方法來</w:t>
      </w:r>
      <w:r>
        <w:rPr>
          <w:rFonts w:hint="default"/>
          <w:lang w:eastAsia="zh-CN"/>
        </w:rPr>
        <w:t>檢查</w:t>
      </w:r>
      <w:r>
        <w:rPr>
          <w:rFonts w:hint="eastAsia"/>
          <w:lang w:val="en-US" w:eastAsia="zh-CN"/>
        </w:rPr>
        <w:t>漆失去的水量以</w:t>
      </w:r>
      <w:r>
        <w:rPr>
          <w:rFonts w:hint="default"/>
          <w:lang w:eastAsia="zh-CN"/>
        </w:rPr>
        <w:t>驗證</w:t>
      </w:r>
      <w:r>
        <w:rPr>
          <w:rFonts w:hint="eastAsia"/>
          <w:lang w:val="en-US" w:eastAsia="zh-CN"/>
        </w:rPr>
        <w:t>漆的質量或數量</w:t>
      </w:r>
      <w:r>
        <w:rPr>
          <w:rFonts w:hint="default"/>
          <w:lang w:eastAsia="zh-CN"/>
        </w:rPr>
        <w:t>是否合格</w:t>
      </w:r>
      <w:r>
        <w:rPr>
          <w:rStyle w:val="26"/>
          <w:rFonts w:hint="default" w:ascii="宋体" w:hAnsi="宋体" w:cs="Arial"/>
          <w:b w:val="0"/>
          <w:bCs w:val="0"/>
          <w:i w:val="0"/>
          <w:iCs w:val="0"/>
          <w:color w:val="auto"/>
          <w:kern w:val="2"/>
          <w:szCs w:val="24"/>
          <w:highlight w:val="none"/>
          <w:lang w:eastAsia="zh-CN" w:bidi="ar-SA"/>
        </w:rPr>
        <w:endnoteReference w:id="12"/>
      </w:r>
      <w:r>
        <w:rPr>
          <w:rFonts w:hint="default"/>
          <w:lang w:eastAsia="zh-CN"/>
        </w:rPr>
        <w:t>。故“桼”和“䰍”之間也存在明確的數量關係，</w:t>
      </w:r>
      <w:r>
        <w:rPr>
          <w:rFonts w:hint="default"/>
          <w:lang w:val="en-US" w:eastAsia="zh-CN"/>
        </w:rPr>
        <w:t>因此才能說“非數無以命之”即沒有數就不能明確界定世間的各種關係，如各官署之間的相互關係、</w:t>
      </w:r>
      <w:r>
        <w:rPr>
          <w:rFonts w:hint="eastAsia"/>
          <w:lang w:val="en-US" w:eastAsia="zh-CN"/>
        </w:rPr>
        <w:t>生產過程中的原料與產品</w:t>
      </w:r>
      <w:r>
        <w:rPr>
          <w:rFonts w:hint="default"/>
          <w:lang w:val="en-US" w:eastAsia="zh-CN"/>
        </w:rPr>
        <w:t>關係以及各種事物之間的大小關係。</w:t>
      </w:r>
    </w:p>
    <w:p w14:paraId="0EB4BEE7">
      <w:pPr>
        <w:pStyle w:val="38"/>
        <w:keepNext w:val="0"/>
        <w:keepLines w:val="0"/>
        <w:pageBreakBefore w:val="0"/>
        <w:widowControl w:val="0"/>
        <w:kinsoku/>
        <w:wordWrap/>
        <w:bidi w:val="0"/>
        <w:snapToGrid/>
        <w:textAlignment w:val="center"/>
        <w:rPr>
          <w:rFonts w:hint="default"/>
          <w:lang w:val="en-US" w:eastAsia="zh-CN"/>
        </w:rPr>
      </w:pPr>
      <w:r>
        <w:rPr>
          <w:rFonts w:hint="eastAsia"/>
          <w:lang w:val="en-US" w:eastAsia="zh-CN"/>
        </w:rPr>
        <w:t>另外，</w:t>
      </w:r>
      <w:r>
        <w:rPr>
          <w:rFonts w:hint="default"/>
          <w:lang w:val="en-US" w:eastAsia="zh-CN"/>
        </w:rPr>
        <w:t>基於“米粟”、“䰍（髹）桼”、“升料斗甬（桶）”三者都是經濟方面詞彙，“䰍（髹）</w:t>
      </w:r>
      <w:r>
        <w:rPr>
          <w:rFonts w:hint="eastAsia"/>
          <w:lang w:val="en-US" w:eastAsia="zh-CN"/>
        </w:rPr>
        <w:t>桼</w:t>
      </w:r>
      <w:r>
        <w:rPr>
          <w:rFonts w:hint="default"/>
          <w:lang w:val="en-US" w:eastAsia="zh-CN"/>
        </w:rPr>
        <w:t>”</w:t>
      </w:r>
      <w:r>
        <w:rPr>
          <w:rFonts w:hint="eastAsia"/>
          <w:lang w:val="en-US" w:eastAsia="zh-CN"/>
        </w:rPr>
        <w:t>也可能指製作漆器</w:t>
      </w:r>
      <w:r>
        <w:rPr>
          <w:rFonts w:hint="default"/>
          <w:lang w:val="en-US" w:eastAsia="zh-CN"/>
        </w:rPr>
        <w:t>，以指代作</w:t>
      </w:r>
      <w:r>
        <w:rPr>
          <w:rFonts w:hint="default"/>
          <w:lang w:eastAsia="zh-CN"/>
        </w:rPr>
        <w:t>爲</w:t>
      </w:r>
      <w:r>
        <w:rPr>
          <w:rFonts w:hint="default"/>
          <w:lang w:val="en-US" w:eastAsia="zh-CN"/>
        </w:rPr>
        <w:t>當時手工業重要門類的漆器業，并進一步指代手工業。</w:t>
      </w:r>
    </w:p>
    <w:p w14:paraId="335ADA4E">
      <w:pPr>
        <w:pStyle w:val="38"/>
        <w:keepNext w:val="0"/>
        <w:keepLines w:val="0"/>
        <w:pageBreakBefore w:val="0"/>
        <w:widowControl w:val="0"/>
        <w:kinsoku/>
        <w:wordWrap/>
        <w:bidi w:val="0"/>
        <w:snapToGrid/>
        <w:textAlignment w:val="center"/>
        <w:rPr>
          <w:rFonts w:hint="default"/>
          <w:lang w:val="en-US" w:eastAsia="zh-CN"/>
        </w:rPr>
      </w:pPr>
    </w:p>
    <w:p w14:paraId="2EC8BC8B">
      <w:pPr>
        <w:pStyle w:val="38"/>
        <w:keepNext w:val="0"/>
        <w:keepLines w:val="0"/>
        <w:pageBreakBefore w:val="0"/>
        <w:widowControl w:val="0"/>
        <w:numPr>
          <w:ilvl w:val="0"/>
          <w:numId w:val="2"/>
        </w:numPr>
        <w:kinsoku/>
        <w:wordWrap/>
        <w:bidi w:val="0"/>
        <w:snapToGrid/>
        <w:ind w:left="0" w:leftChars="0" w:firstLine="560" w:firstLineChars="200"/>
        <w:textAlignment w:val="center"/>
        <w:rPr>
          <w:rFonts w:hint="default"/>
          <w:lang w:eastAsia="zh-CN"/>
        </w:rPr>
      </w:pPr>
      <w:r>
        <w:rPr>
          <w:rFonts w:hint="default"/>
          <w:lang w:eastAsia="zh-CN"/>
        </w:rPr>
        <w:t>《北京大學藏秦簡牘·卷四》簡二二正</w:t>
      </w:r>
      <w:r>
        <w:rPr>
          <w:rFonts w:hint="eastAsia"/>
          <w:lang w:eastAsia="zh-CN"/>
        </w:rPr>
        <w:t>——</w:t>
      </w:r>
      <w:r>
        <w:rPr>
          <w:rFonts w:hint="eastAsia"/>
          <w:lang w:val="en-US" w:eastAsia="zh-CN"/>
        </w:rPr>
        <w:t>簡二三正</w:t>
      </w:r>
      <w:r>
        <w:rPr>
          <w:rFonts w:hint="default"/>
          <w:lang w:eastAsia="zh-CN"/>
        </w:rPr>
        <w:t>：</w:t>
      </w:r>
    </w:p>
    <w:p w14:paraId="60401A28">
      <w:pPr>
        <w:pStyle w:val="39"/>
        <w:keepNext w:val="0"/>
        <w:keepLines w:val="0"/>
        <w:pageBreakBefore w:val="0"/>
        <w:widowControl w:val="0"/>
        <w:kinsoku/>
        <w:wordWrap/>
        <w:bidi w:val="0"/>
        <w:snapToGrid/>
        <w:textAlignment w:val="center"/>
        <w:rPr>
          <w:rFonts w:hint="default"/>
          <w:lang w:eastAsia="zh-CN"/>
        </w:rPr>
      </w:pPr>
      <w:r>
        <w:rPr>
          <w:rFonts w:hint="default"/>
          <w:lang w:val="en-US" w:eastAsia="zh-CN"/>
        </w:rPr>
        <w:t>和</w:t>
      </w:r>
      <w:r>
        <w:rPr>
          <w:rFonts w:hint="eastAsia"/>
          <w:lang w:val="en-US" w:eastAsia="zh-CN"/>
        </w:rPr>
        <w:t>攻（功）度吏（事），見（視）土剛</w:t>
      </w:r>
      <w:r>
        <w:rPr>
          <w:rFonts w:hint="eastAsia"/>
          <w:lang w:val="en-US" w:eastAsia="zh-CN"/>
        </w:rPr>
        <w:drawing>
          <wp:inline distT="0" distB="0" distL="0" distR="0">
            <wp:extent cx="191135" cy="145415"/>
            <wp:effectExtent l="0" t="0" r="12065" b="6985"/>
            <wp:docPr id="1039" name="图片 6" descr="Screenshot_20250405_134923_com.huawei.hsl_edit_412990844186980"/>
            <wp:cNvGraphicFramePr/>
            <a:graphic xmlns:a="http://schemas.openxmlformats.org/drawingml/2006/main">
              <a:graphicData uri="http://schemas.openxmlformats.org/drawingml/2006/picture">
                <pic:pic xmlns:pic="http://schemas.openxmlformats.org/drawingml/2006/picture">
                  <pic:nvPicPr>
                    <pic:cNvPr id="1039" name="图片 6" descr="Screenshot_20250405_134923_com.huawei.hsl_edit_412990844186980"/>
                    <pic:cNvPicPr/>
                  </pic:nvPicPr>
                  <pic:blipFill>
                    <a:blip r:embed="rId12" cstate="print"/>
                    <a:srcRect/>
                    <a:stretch>
                      <a:fillRect/>
                    </a:stretch>
                  </pic:blipFill>
                  <pic:spPr>
                    <a:xfrm>
                      <a:off x="0" y="0"/>
                      <a:ext cx="191135" cy="145415"/>
                    </a:xfrm>
                    <a:prstGeom prst="rect">
                      <a:avLst/>
                    </a:prstGeom>
                  </pic:spPr>
                </pic:pic>
              </a:graphicData>
            </a:graphic>
          </wp:inline>
        </w:drawing>
      </w:r>
      <w:r>
        <w:rPr>
          <w:rFonts w:hint="eastAsia"/>
          <w:lang w:val="en-US" w:eastAsia="zh-CN"/>
        </w:rPr>
        <w:t>（柔），黑白（二二正）黄赤，蓁厲（萊）津如（洳），立（粒）石之地，各有所宜，非數无以智（知）之。（二三正）</w:t>
      </w:r>
    </w:p>
    <w:p w14:paraId="5FB26126">
      <w:pPr>
        <w:pStyle w:val="38"/>
        <w:keepNext w:val="0"/>
        <w:keepLines w:val="0"/>
        <w:pageBreakBefore w:val="0"/>
        <w:widowControl w:val="0"/>
        <w:kinsoku/>
        <w:wordWrap/>
        <w:bidi w:val="0"/>
        <w:snapToGrid/>
        <w:textAlignment w:val="center"/>
        <w:rPr>
          <w:rFonts w:hint="default"/>
          <w:lang w:eastAsia="zh-CN"/>
        </w:rPr>
      </w:pPr>
      <w:r>
        <w:rPr>
          <w:rFonts w:hint="default"/>
          <w:lang w:eastAsia="zh-CN"/>
        </w:rPr>
        <w:t>“攻（功）”字在</w:t>
      </w:r>
      <w:r>
        <w:rPr>
          <w:rFonts w:hint="eastAsia"/>
          <w:lang w:val="en-US" w:eastAsia="zh-CN"/>
        </w:rPr>
        <w:t>金文和</w:t>
      </w:r>
      <w:r>
        <w:rPr>
          <w:rFonts w:hint="default"/>
          <w:lang w:eastAsia="zh-CN"/>
        </w:rPr>
        <w:t>秦簡中多次出現，“攻”字形爲</w:t>
      </w:r>
      <w:r>
        <w:rPr>
          <w:rFonts w:hint="default"/>
          <w:lang w:eastAsia="zh-CN"/>
        </w:rPr>
        <w:drawing>
          <wp:inline distT="0" distB="0" distL="0" distR="0">
            <wp:extent cx="474980" cy="459105"/>
            <wp:effectExtent l="0" t="0" r="7620" b="10795"/>
            <wp:docPr id="1040" name="图片 6" descr="Screenshot_20250509_014737_cn.wps.moffice_eng"/>
            <wp:cNvGraphicFramePr/>
            <a:graphic xmlns:a="http://schemas.openxmlformats.org/drawingml/2006/main">
              <a:graphicData uri="http://schemas.openxmlformats.org/drawingml/2006/picture">
                <pic:pic xmlns:pic="http://schemas.openxmlformats.org/drawingml/2006/picture">
                  <pic:nvPicPr>
                    <pic:cNvPr id="1040" name="图片 6" descr="Screenshot_20250509_014737_cn.wps.moffice_eng"/>
                    <pic:cNvPicPr/>
                  </pic:nvPicPr>
                  <pic:blipFill>
                    <a:blip r:embed="rId15" cstate="print"/>
                    <a:srcRect/>
                    <a:stretch>
                      <a:fillRect/>
                    </a:stretch>
                  </pic:blipFill>
                  <pic:spPr>
                    <a:xfrm>
                      <a:off x="0" y="0"/>
                      <a:ext cx="474980" cy="459105"/>
                    </a:xfrm>
                    <a:prstGeom prst="rect">
                      <a:avLst/>
                    </a:prstGeom>
                  </pic:spPr>
                </pic:pic>
              </a:graphicData>
            </a:graphic>
          </wp:inline>
        </w:drawing>
      </w:r>
      <w:r>
        <w:rPr>
          <w:rStyle w:val="26"/>
          <w:rFonts w:hint="default" w:ascii="宋体" w:hAnsi="宋体" w:cs="宋体"/>
          <w:b w:val="0"/>
          <w:bCs w:val="0"/>
          <w:i w:val="0"/>
          <w:iCs w:val="0"/>
          <w:color w:val="auto"/>
          <w:kern w:val="2"/>
          <w:szCs w:val="24"/>
          <w:highlight w:val="none"/>
          <w:lang w:eastAsia="zh-CN" w:bidi="ar-SA"/>
        </w:rPr>
        <w:endnoteReference w:id="13"/>
      </w:r>
      <w:r>
        <w:rPr>
          <w:rFonts w:hint="default"/>
          <w:lang w:eastAsia="zh-CN"/>
        </w:rPr>
        <w:t>，“功”字形爲</w:t>
      </w:r>
      <w:r>
        <w:rPr>
          <w:rFonts w:hint="default"/>
          <w:lang w:eastAsia="zh-CN"/>
        </w:rPr>
        <w:drawing>
          <wp:inline distT="0" distB="0" distL="0" distR="0">
            <wp:extent cx="378460" cy="357505"/>
            <wp:effectExtent l="0" t="0" r="2540" b="10795"/>
            <wp:docPr id="1041" name="图片 5" descr="Screenshot_20250509_014054_cn.wps.moffice_eng"/>
            <wp:cNvGraphicFramePr/>
            <a:graphic xmlns:a="http://schemas.openxmlformats.org/drawingml/2006/main">
              <a:graphicData uri="http://schemas.openxmlformats.org/drawingml/2006/picture">
                <pic:pic xmlns:pic="http://schemas.openxmlformats.org/drawingml/2006/picture">
                  <pic:nvPicPr>
                    <pic:cNvPr id="1041" name="图片 5" descr="Screenshot_20250509_014054_cn.wps.moffice_eng"/>
                    <pic:cNvPicPr/>
                  </pic:nvPicPr>
                  <pic:blipFill>
                    <a:blip r:embed="rId16" cstate="print"/>
                    <a:srcRect/>
                    <a:stretch>
                      <a:fillRect/>
                    </a:stretch>
                  </pic:blipFill>
                  <pic:spPr>
                    <a:xfrm>
                      <a:off x="0" y="0"/>
                      <a:ext cx="378460" cy="357505"/>
                    </a:xfrm>
                    <a:prstGeom prst="rect">
                      <a:avLst/>
                    </a:prstGeom>
                  </pic:spPr>
                </pic:pic>
              </a:graphicData>
            </a:graphic>
          </wp:inline>
        </w:drawing>
      </w:r>
      <w:r>
        <w:rPr>
          <w:rStyle w:val="26"/>
          <w:rFonts w:hint="default" w:ascii="宋体" w:hAnsi="宋体" w:cs="宋体"/>
          <w:b w:val="0"/>
          <w:bCs w:val="0"/>
          <w:i w:val="0"/>
          <w:iCs w:val="0"/>
          <w:color w:val="auto"/>
          <w:kern w:val="2"/>
          <w:szCs w:val="24"/>
          <w:highlight w:val="none"/>
          <w:lang w:eastAsia="zh-CN" w:bidi="ar-SA"/>
        </w:rPr>
        <w:endnoteReference w:id="14"/>
      </w:r>
      <w:r>
        <w:rPr>
          <w:rFonts w:hint="default"/>
          <w:lang w:eastAsia="zh-CN"/>
        </w:rPr>
        <w:t>，二者具有相當高的相似性，因此“攻”与“功”二字在秦簡中存在通假現象</w:t>
      </w:r>
      <w:r>
        <w:rPr>
          <w:rFonts w:hint="eastAsia"/>
          <w:lang w:eastAsia="zh-CN"/>
        </w:rPr>
        <w:t>，</w:t>
      </w:r>
      <w:r>
        <w:rPr>
          <w:rFonts w:hint="eastAsia"/>
          <w:lang w:val="en-US" w:eastAsia="zh-CN"/>
        </w:rPr>
        <w:t>這一點白於藍先生在《戰國秦漢簡帛古書通假字彙纂》一書中進行了詳盡的考證，列舉了出土簡帛文獻中“功”與“攻”、“攻”與“功”相互通假的情況</w:t>
      </w:r>
      <w:r>
        <w:rPr>
          <w:rStyle w:val="26"/>
          <w:rFonts w:hint="eastAsia" w:ascii="宋体" w:hAnsi="宋体" w:cs="宋体"/>
          <w:b w:val="0"/>
          <w:bCs w:val="0"/>
          <w:i w:val="0"/>
          <w:iCs w:val="0"/>
          <w:color w:val="auto"/>
          <w:kern w:val="2"/>
          <w:szCs w:val="24"/>
          <w:highlight w:val="none"/>
          <w:lang w:val="en-US" w:eastAsia="zh-CN" w:bidi="ar-SA"/>
        </w:rPr>
        <w:endnoteReference w:id="15"/>
      </w:r>
      <w:r>
        <w:rPr>
          <w:rFonts w:hint="default"/>
          <w:lang w:eastAsia="zh-CN"/>
        </w:rPr>
        <w:t>。</w:t>
      </w:r>
    </w:p>
    <w:p w14:paraId="06203FDF">
      <w:pPr>
        <w:pStyle w:val="38"/>
        <w:keepNext w:val="0"/>
        <w:keepLines w:val="0"/>
        <w:pageBreakBefore w:val="0"/>
        <w:widowControl w:val="0"/>
        <w:kinsoku/>
        <w:wordWrap/>
        <w:bidi w:val="0"/>
        <w:snapToGrid/>
        <w:textAlignment w:val="center"/>
        <w:rPr>
          <w:rFonts w:hint="default"/>
          <w:lang w:eastAsia="zh-CN"/>
        </w:rPr>
      </w:pPr>
      <w:r>
        <w:rPr>
          <w:rFonts w:hint="eastAsia"/>
          <w:lang w:val="en-US" w:eastAsia="zh-CN"/>
        </w:rPr>
        <w:t>在兩周金文中，“攻”字出現較多，如</w:t>
      </w:r>
      <w:r>
        <w:rPr>
          <w:rFonts w:hint="default"/>
          <w:lang w:eastAsia="zh-CN"/>
        </w:rPr>
        <w:drawing>
          <wp:inline distT="0" distB="0" distL="0" distR="0">
            <wp:extent cx="168910" cy="133350"/>
            <wp:effectExtent l="0" t="0" r="8890" b="6350"/>
            <wp:docPr id="1042" name="Image1"/>
            <wp:cNvGraphicFramePr/>
            <a:graphic xmlns:a="http://schemas.openxmlformats.org/drawingml/2006/main">
              <a:graphicData uri="http://schemas.openxmlformats.org/drawingml/2006/picture">
                <pic:pic xmlns:pic="http://schemas.openxmlformats.org/drawingml/2006/picture">
                  <pic:nvPicPr>
                    <pic:cNvPr id="1042" name="Image1"/>
                    <pic:cNvPicPr/>
                  </pic:nvPicPr>
                  <pic:blipFill>
                    <a:blip r:embed="rId17" cstate="print"/>
                    <a:srcRect/>
                    <a:stretch>
                      <a:fillRect/>
                    </a:stretch>
                  </pic:blipFill>
                  <pic:spPr>
                    <a:xfrm rot="10800000" flipH="1" flipV="1">
                      <a:off x="0" y="0"/>
                      <a:ext cx="168910" cy="133350"/>
                    </a:xfrm>
                    <a:prstGeom prst="rect">
                      <a:avLst/>
                    </a:prstGeom>
                  </pic:spPr>
                </pic:pic>
              </a:graphicData>
            </a:graphic>
          </wp:inline>
        </w:drawing>
      </w:r>
      <w:r>
        <w:rPr>
          <w:rFonts w:hint="default"/>
          <w:lang w:val="en-US" w:eastAsia="zh-CN"/>
        </w:rPr>
        <w:t>孫鐘銘文“唯王正月初吉丁亥攻敔仲終藏之”</w:t>
      </w:r>
      <w:r>
        <w:rPr>
          <w:rStyle w:val="26"/>
          <w:rFonts w:hint="default"/>
          <w:lang w:eastAsia="zh-CN"/>
        </w:rPr>
        <w:endnoteReference w:id="16"/>
      </w:r>
      <w:r>
        <w:rPr>
          <w:rFonts w:hint="default"/>
          <w:lang w:val="en-US" w:eastAsia="zh-CN"/>
        </w:rPr>
        <w:t>以及攻敔王光劍銘文“攻敔王夫差自作其元用</w:t>
      </w:r>
      <w:r>
        <w:rPr>
          <w:rStyle w:val="26"/>
          <w:rFonts w:hint="default"/>
          <w:lang w:eastAsia="zh-CN"/>
        </w:rPr>
        <w:endnoteReference w:id="17"/>
      </w:r>
      <w:r>
        <w:rPr>
          <w:rFonts w:hint="default"/>
          <w:lang w:val="en-US" w:eastAsia="zh-CN"/>
        </w:rPr>
        <w:t>”出現“攻敔”二字，意爲“句吳”</w:t>
      </w:r>
      <w:r>
        <w:rPr>
          <w:rFonts w:hint="default"/>
          <w:lang w:eastAsia="zh-CN"/>
        </w:rPr>
        <w:t>；在“鄂君啟節”舟節和車節中都提到“大攻（工）尹脽”，于省吾先生認爲，“攻”讀爲“工”，大工尹相當於司工之職</w:t>
      </w:r>
      <w:r>
        <w:rPr>
          <w:rStyle w:val="26"/>
          <w:rFonts w:hint="default" w:ascii="宋体" w:hAnsi="宋体" w:cs="宋体"/>
          <w:b w:val="0"/>
          <w:bCs w:val="0"/>
          <w:i w:val="0"/>
          <w:iCs w:val="0"/>
          <w:color w:val="auto"/>
          <w:kern w:val="2"/>
          <w:szCs w:val="24"/>
          <w:highlight w:val="none"/>
          <w:lang w:eastAsia="zh-CN" w:bidi="ar-SA"/>
        </w:rPr>
        <w:endnoteReference w:id="18"/>
      </w:r>
      <w:r>
        <w:rPr>
          <w:rFonts w:hint="default"/>
          <w:lang w:eastAsia="zh-CN"/>
        </w:rPr>
        <w:t>。“攻”在此處有“工藝、工程”之含義。</w:t>
      </w:r>
    </w:p>
    <w:p w14:paraId="585AA707">
      <w:pPr>
        <w:pStyle w:val="38"/>
        <w:keepNext w:val="0"/>
        <w:keepLines w:val="0"/>
        <w:pageBreakBefore w:val="0"/>
        <w:widowControl w:val="0"/>
        <w:kinsoku/>
        <w:wordWrap/>
        <w:bidi w:val="0"/>
        <w:snapToGrid/>
        <w:textAlignment w:val="center"/>
        <w:rPr>
          <w:rFonts w:hint="default"/>
          <w:lang w:eastAsia="zh-CN"/>
        </w:rPr>
      </w:pPr>
      <w:r>
        <w:rPr>
          <w:rFonts w:hint="default"/>
          <w:lang w:eastAsia="zh-CN"/>
        </w:rPr>
        <w:t>“功”字在金文中辭例有“䌛功”、“戎功”等辭例，如：</w:t>
      </w:r>
    </w:p>
    <w:p w14:paraId="4028A320">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畯簋：哉乃祖考繇有功于先王</w:t>
      </w:r>
      <w:r>
        <w:rPr>
          <w:rStyle w:val="26"/>
          <w:rFonts w:hint="default" w:ascii="宋体" w:hAnsi="宋体" w:cs="宋体"/>
          <w:b w:val="0"/>
          <w:bCs w:val="0"/>
          <w:i w:val="0"/>
          <w:iCs w:val="0"/>
          <w:color w:val="auto"/>
          <w:kern w:val="2"/>
          <w:szCs w:val="24"/>
          <w:highlight w:val="none"/>
          <w:lang w:eastAsia="zh-CN" w:bidi="ar-SA"/>
        </w:rPr>
        <w:endnoteReference w:id="19"/>
      </w:r>
      <w:r>
        <w:rPr>
          <w:rFonts w:hint="default"/>
          <w:lang w:eastAsia="zh-CN"/>
        </w:rPr>
        <w:t>。</w:t>
      </w:r>
    </w:p>
    <w:p w14:paraId="6115EAB2">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魯侯簋：魯侯有繇功。</w:t>
      </w:r>
      <w:r>
        <w:rPr>
          <w:rStyle w:val="26"/>
          <w:rFonts w:hint="default" w:ascii="宋体" w:hAnsi="宋体" w:cs="宋体"/>
          <w:b w:val="0"/>
          <w:bCs w:val="0"/>
          <w:i w:val="0"/>
          <w:iCs w:val="0"/>
          <w:color w:val="auto"/>
          <w:kern w:val="2"/>
          <w:szCs w:val="24"/>
          <w:highlight w:val="none"/>
          <w:lang w:eastAsia="zh-CN" w:bidi="ar-SA"/>
        </w:rPr>
        <w:endnoteReference w:id="20"/>
      </w:r>
    </w:p>
    <w:p w14:paraId="2E3263BB">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虢季子白盤：壯武于戎功。</w:t>
      </w:r>
      <w:r>
        <w:rPr>
          <w:rStyle w:val="26"/>
          <w:rFonts w:hint="default" w:ascii="宋体" w:hAnsi="宋体" w:cs="宋体"/>
          <w:b w:val="0"/>
          <w:bCs w:val="0"/>
          <w:i w:val="0"/>
          <w:iCs w:val="0"/>
          <w:color w:val="auto"/>
          <w:kern w:val="2"/>
          <w:szCs w:val="24"/>
          <w:highlight w:val="none"/>
          <w:lang w:eastAsia="zh-CN" w:bidi="ar-SA"/>
        </w:rPr>
        <w:endnoteReference w:id="21"/>
      </w:r>
    </w:p>
    <w:p w14:paraId="4F8C9F62">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配儿鈎鑃：余孰壯于戎功且武。</w:t>
      </w:r>
      <w:r>
        <w:rPr>
          <w:rStyle w:val="26"/>
          <w:rFonts w:hint="default" w:ascii="宋体" w:hAnsi="宋体" w:cs="宋体"/>
          <w:b w:val="0"/>
          <w:bCs w:val="0"/>
          <w:i w:val="0"/>
          <w:iCs w:val="0"/>
          <w:color w:val="auto"/>
          <w:kern w:val="2"/>
          <w:szCs w:val="24"/>
          <w:highlight w:val="none"/>
          <w:lang w:eastAsia="zh-CN" w:bidi="ar-SA"/>
        </w:rPr>
        <w:endnoteReference w:id="22"/>
      </w:r>
    </w:p>
    <w:p w14:paraId="7434FFDB">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嘉賓鐘：余武于戎功。</w:t>
      </w:r>
      <w:r>
        <w:rPr>
          <w:rStyle w:val="26"/>
          <w:rFonts w:hint="default" w:ascii="宋体" w:hAnsi="宋体" w:cs="宋体"/>
          <w:b w:val="0"/>
          <w:bCs w:val="0"/>
          <w:i w:val="0"/>
          <w:iCs w:val="0"/>
          <w:color w:val="auto"/>
          <w:kern w:val="2"/>
          <w:szCs w:val="24"/>
          <w:highlight w:val="none"/>
          <w:lang w:eastAsia="zh-CN" w:bidi="ar-SA"/>
        </w:rPr>
        <w:endnoteReference w:id="23"/>
      </w:r>
    </w:p>
    <w:p w14:paraId="0B83C1BF">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曾侯與编鐘：親敷武攻（功）。</w:t>
      </w:r>
      <w:r>
        <w:rPr>
          <w:rStyle w:val="26"/>
          <w:rFonts w:hint="default" w:ascii="宋体" w:hAnsi="宋体" w:cs="宋体"/>
          <w:b w:val="0"/>
          <w:bCs w:val="0"/>
          <w:i w:val="0"/>
          <w:iCs w:val="0"/>
          <w:color w:val="auto"/>
          <w:kern w:val="2"/>
          <w:szCs w:val="24"/>
          <w:highlight w:val="none"/>
          <w:lang w:eastAsia="zh-CN" w:bidi="ar-SA"/>
        </w:rPr>
        <w:endnoteReference w:id="24"/>
      </w:r>
    </w:p>
    <w:p w14:paraId="1FC74A17">
      <w:pPr>
        <w:pStyle w:val="39"/>
        <w:keepNext w:val="0"/>
        <w:keepLines w:val="0"/>
        <w:pageBreakBefore w:val="0"/>
        <w:widowControl w:val="0"/>
        <w:numPr>
          <w:ilvl w:val="0"/>
          <w:numId w:val="3"/>
        </w:numPr>
        <w:kinsoku/>
        <w:wordWrap/>
        <w:bidi w:val="0"/>
        <w:snapToGrid/>
        <w:textAlignment w:val="center"/>
        <w:rPr>
          <w:rFonts w:hint="default"/>
          <w:lang w:eastAsia="zh-CN"/>
        </w:rPr>
      </w:pPr>
      <w:r>
        <w:rPr>
          <w:rFonts w:hint="default"/>
          <w:lang w:eastAsia="zh-CN"/>
        </w:rPr>
        <w:t>師艅尊：王如上侯師余从王□功。</w:t>
      </w:r>
      <w:r>
        <w:rPr>
          <w:rStyle w:val="26"/>
          <w:rFonts w:hint="default" w:ascii="宋体" w:hAnsi="宋体" w:cs="宋体"/>
          <w:b w:val="0"/>
          <w:bCs w:val="0"/>
          <w:i w:val="0"/>
          <w:iCs w:val="0"/>
          <w:color w:val="auto"/>
          <w:kern w:val="2"/>
          <w:szCs w:val="24"/>
          <w:highlight w:val="none"/>
          <w:lang w:eastAsia="zh-CN" w:bidi="ar-SA"/>
        </w:rPr>
        <w:endnoteReference w:id="25"/>
      </w:r>
    </w:p>
    <w:p w14:paraId="25349B76">
      <w:pPr>
        <w:pStyle w:val="38"/>
        <w:keepNext w:val="0"/>
        <w:keepLines w:val="0"/>
        <w:pageBreakBefore w:val="0"/>
        <w:widowControl w:val="0"/>
        <w:kinsoku/>
        <w:wordWrap/>
        <w:bidi w:val="0"/>
        <w:snapToGrid/>
        <w:textAlignment w:val="center"/>
        <w:rPr>
          <w:rFonts w:hint="default"/>
          <w:lang w:eastAsia="zh-CN"/>
        </w:rPr>
      </w:pPr>
      <w:r>
        <w:rPr>
          <w:rFonts w:hint="default"/>
          <w:lang w:eastAsia="zh-CN"/>
        </w:rPr>
        <w:t>依黃錦前先生所言，“䌛功”應指軍事方面的功績，“戎功”、“武功”應指“武事、戎事、兵事”</w:t>
      </w:r>
      <w:r>
        <w:rPr>
          <w:rStyle w:val="26"/>
          <w:rFonts w:hint="default" w:ascii="宋体" w:hAnsi="宋体" w:cs="宋体"/>
          <w:b w:val="0"/>
          <w:bCs w:val="0"/>
          <w:i w:val="0"/>
          <w:iCs w:val="0"/>
          <w:color w:val="auto"/>
          <w:kern w:val="2"/>
          <w:szCs w:val="24"/>
          <w:highlight w:val="none"/>
          <w:lang w:eastAsia="zh-CN" w:bidi="ar-SA"/>
        </w:rPr>
        <w:endnoteReference w:id="26"/>
      </w:r>
      <w:r>
        <w:rPr>
          <w:rFonts w:hint="default"/>
          <w:lang w:eastAsia="zh-CN"/>
        </w:rPr>
        <w:t>。可見在金文中，“功”有作爲“功勞、功績”和“事情、事業”之義的辭例。</w:t>
      </w:r>
    </w:p>
    <w:p w14:paraId="6DCCFBB9">
      <w:pPr>
        <w:pStyle w:val="38"/>
        <w:keepNext w:val="0"/>
        <w:keepLines w:val="0"/>
        <w:pageBreakBefore w:val="0"/>
        <w:widowControl w:val="0"/>
        <w:kinsoku/>
        <w:wordWrap/>
        <w:bidi w:val="0"/>
        <w:snapToGrid/>
        <w:textAlignment w:val="center"/>
        <w:rPr>
          <w:rFonts w:hint="default"/>
          <w:lang w:eastAsia="zh-CN"/>
        </w:rPr>
      </w:pPr>
      <w:r>
        <w:rPr>
          <w:rFonts w:hint="default"/>
          <w:lang w:eastAsia="zh-CN"/>
        </w:rPr>
        <w:t>“攻”在秦簡中也多次出現，如在里耶秦簡中，在里耶秦簡第九層中出現兩次，分別是9-939簡“</w:t>
      </w:r>
      <w:r>
        <w:rPr>
          <w:rFonts w:hint="eastAsia"/>
          <w:lang w:eastAsia="zh-CN"/>
        </w:rPr>
        <w:t>□</w:t>
      </w:r>
      <w:r>
        <w:rPr>
          <w:rFonts w:hint="default"/>
          <w:lang w:eastAsia="zh-CN"/>
        </w:rPr>
        <w:t>攻次，爲置守如從軍者”和9-1078簡“一</w:t>
      </w:r>
      <w:r>
        <w:rPr>
          <w:rFonts w:hint="eastAsia"/>
          <w:lang w:val="en-US" w:eastAsia="zh-CN"/>
        </w:rPr>
        <w:t xml:space="preserve"> </w:t>
      </w:r>
      <w:r>
        <w:rPr>
          <w:rFonts w:hint="default"/>
          <w:lang w:eastAsia="zh-CN"/>
        </w:rPr>
        <w:t>人與上攻者偕”，兩處的“攻”均同“功”，爲功勞之意</w:t>
      </w:r>
      <w:r>
        <w:rPr>
          <w:rStyle w:val="26"/>
          <w:rFonts w:hint="default" w:ascii="宋体" w:hAnsi="宋体" w:cs="宋体"/>
          <w:b w:val="0"/>
          <w:bCs w:val="0"/>
          <w:i w:val="0"/>
          <w:iCs w:val="0"/>
          <w:color w:val="auto"/>
          <w:kern w:val="2"/>
          <w:szCs w:val="24"/>
          <w:highlight w:val="none"/>
          <w:lang w:eastAsia="zh-CN" w:bidi="ar-SA"/>
        </w:rPr>
        <w:endnoteReference w:id="27"/>
      </w:r>
      <w:r>
        <w:rPr>
          <w:rFonts w:hint="default"/>
          <w:lang w:eastAsia="zh-CN"/>
        </w:rPr>
        <w:t>；在放馬灘秦簡乙種《日書》中共出現8次，《直室門》中“男子若木攻”劉增貴釋“木攻”爲“干政”</w:t>
      </w:r>
      <w:r>
        <w:rPr>
          <w:rStyle w:val="26"/>
          <w:rFonts w:hint="default" w:ascii="宋体" w:hAnsi="宋体" w:cs="宋体"/>
          <w:b w:val="0"/>
          <w:bCs w:val="0"/>
          <w:i w:val="0"/>
          <w:iCs w:val="0"/>
          <w:color w:val="auto"/>
          <w:kern w:val="2"/>
          <w:szCs w:val="24"/>
          <w:highlight w:val="none"/>
          <w:lang w:eastAsia="zh-CN" w:bidi="ar-SA"/>
        </w:rPr>
        <w:endnoteReference w:id="28"/>
      </w:r>
      <w:r>
        <w:rPr>
          <w:rFonts w:hint="default"/>
          <w:lang w:eastAsia="zh-CN"/>
        </w:rPr>
        <w:t>，《天干行忌》“戊己毋作土攻（功）”</w:t>
      </w:r>
      <w:r>
        <w:rPr>
          <w:rStyle w:val="26"/>
          <w:rFonts w:hint="default" w:ascii="宋体" w:hAnsi="宋体" w:cs="宋体"/>
          <w:b w:val="0"/>
          <w:bCs w:val="0"/>
          <w:i w:val="0"/>
          <w:iCs w:val="0"/>
          <w:color w:val="auto"/>
          <w:kern w:val="2"/>
          <w:szCs w:val="24"/>
          <w:highlight w:val="none"/>
          <w:lang w:eastAsia="zh-CN" w:bidi="ar-SA"/>
        </w:rPr>
        <w:endnoteReference w:id="29"/>
      </w:r>
      <w:r>
        <w:rPr>
          <w:rFonts w:hint="default"/>
          <w:lang w:eastAsia="zh-CN"/>
        </w:rPr>
        <w:t>，《四時土忌》“不可起土攻，必死亡”</w:t>
      </w:r>
      <w:r>
        <w:rPr>
          <w:rStyle w:val="26"/>
          <w:rFonts w:hint="default" w:ascii="宋体" w:hAnsi="宋体" w:cs="宋体"/>
          <w:b w:val="0"/>
          <w:bCs w:val="0"/>
          <w:i w:val="0"/>
          <w:iCs w:val="0"/>
          <w:color w:val="auto"/>
          <w:kern w:val="2"/>
          <w:szCs w:val="24"/>
          <w:highlight w:val="none"/>
          <w:lang w:eastAsia="zh-CN" w:bidi="ar-SA"/>
        </w:rPr>
        <w:endnoteReference w:id="30"/>
      </w:r>
      <w:r>
        <w:rPr>
          <w:rFonts w:hint="default"/>
          <w:lang w:eastAsia="zh-CN"/>
        </w:rPr>
        <w:t>，《土忌（一）》中132簡“不可興垣、土攻（功），大兇（凶）”</w:t>
      </w:r>
      <w:r>
        <w:rPr>
          <w:rStyle w:val="26"/>
          <w:rFonts w:hint="default" w:ascii="宋体" w:hAnsi="宋体" w:cs="宋体"/>
          <w:b w:val="0"/>
          <w:bCs w:val="0"/>
          <w:i w:val="0"/>
          <w:iCs w:val="0"/>
          <w:color w:val="auto"/>
          <w:kern w:val="2"/>
          <w:szCs w:val="24"/>
          <w:highlight w:val="none"/>
          <w:lang w:eastAsia="zh-CN" w:bidi="ar-SA"/>
        </w:rPr>
        <w:endnoteReference w:id="31"/>
      </w:r>
      <w:r>
        <w:rPr>
          <w:rFonts w:hint="default"/>
          <w:lang w:eastAsia="zh-CN"/>
        </w:rPr>
        <w:t>，134簡“不可操土攻（功），不死必亡”</w:t>
      </w:r>
      <w:r>
        <w:rPr>
          <w:rStyle w:val="26"/>
          <w:rFonts w:hint="default" w:ascii="宋体" w:hAnsi="宋体" w:cs="宋体"/>
          <w:b w:val="0"/>
          <w:bCs w:val="0"/>
          <w:i w:val="0"/>
          <w:iCs w:val="0"/>
          <w:color w:val="auto"/>
          <w:kern w:val="2"/>
          <w:szCs w:val="24"/>
          <w:highlight w:val="none"/>
          <w:lang w:eastAsia="zh-CN" w:bidi="ar-SA"/>
        </w:rPr>
        <w:endnoteReference w:id="32"/>
      </w:r>
      <w:r>
        <w:rPr>
          <w:rFonts w:hint="default"/>
          <w:lang w:eastAsia="zh-CN"/>
        </w:rPr>
        <w:t>，《土忌（二）》“三日不可</w:t>
      </w:r>
      <w:r>
        <w:rPr>
          <w:rFonts w:hint="eastAsia"/>
          <w:lang w:eastAsia="zh-CN"/>
        </w:rPr>
        <w:t>□</w:t>
      </w:r>
      <w:r>
        <w:rPr>
          <w:rFonts w:hint="default"/>
          <w:lang w:eastAsia="zh-CN"/>
        </w:rPr>
        <w:t>土攻（功）”</w:t>
      </w:r>
      <w:r>
        <w:rPr>
          <w:rStyle w:val="26"/>
          <w:rFonts w:hint="default" w:ascii="宋体" w:hAnsi="宋体" w:cs="宋体"/>
          <w:b w:val="0"/>
          <w:bCs w:val="0"/>
          <w:i w:val="0"/>
          <w:iCs w:val="0"/>
          <w:color w:val="auto"/>
          <w:kern w:val="2"/>
          <w:szCs w:val="24"/>
          <w:highlight w:val="none"/>
          <w:lang w:eastAsia="zh-CN" w:bidi="ar-SA"/>
        </w:rPr>
        <w:endnoteReference w:id="33"/>
      </w:r>
      <w:r>
        <w:rPr>
          <w:rFonts w:hint="default"/>
          <w:lang w:eastAsia="zh-CN"/>
        </w:rPr>
        <w:t>，《矦（候）歲》“邦有木攻（功）”“邦有土攻（功）”</w:t>
      </w:r>
      <w:r>
        <w:rPr>
          <w:rStyle w:val="26"/>
          <w:rFonts w:hint="default" w:ascii="宋体" w:hAnsi="宋体" w:cs="宋体"/>
          <w:b w:val="0"/>
          <w:bCs w:val="0"/>
          <w:i w:val="0"/>
          <w:iCs w:val="0"/>
          <w:color w:val="auto"/>
          <w:kern w:val="2"/>
          <w:szCs w:val="24"/>
          <w:highlight w:val="none"/>
          <w:lang w:eastAsia="zh-CN" w:bidi="ar-SA"/>
        </w:rPr>
        <w:endnoteReference w:id="34"/>
      </w:r>
      <w:r>
        <w:rPr>
          <w:rFonts w:hint="default"/>
          <w:lang w:eastAsia="zh-CN"/>
        </w:rPr>
        <w:t>，《絕天氣》“不可起土攻（功），不死必亡”</w:t>
      </w:r>
      <w:r>
        <w:rPr>
          <w:rStyle w:val="26"/>
          <w:rFonts w:hint="default" w:ascii="宋体" w:hAnsi="宋体" w:cs="宋体"/>
          <w:b w:val="0"/>
          <w:bCs w:val="0"/>
          <w:i w:val="0"/>
          <w:iCs w:val="0"/>
          <w:color w:val="auto"/>
          <w:kern w:val="2"/>
          <w:szCs w:val="24"/>
          <w:highlight w:val="none"/>
          <w:lang w:eastAsia="zh-CN" w:bidi="ar-SA"/>
        </w:rPr>
        <w:endnoteReference w:id="35"/>
      </w:r>
      <w:r>
        <w:rPr>
          <w:rFonts w:hint="default"/>
          <w:lang w:eastAsia="zh-CN"/>
        </w:rPr>
        <w:t>。</w:t>
      </w:r>
    </w:p>
    <w:p w14:paraId="664DF8D0">
      <w:pPr>
        <w:pStyle w:val="38"/>
        <w:keepNext w:val="0"/>
        <w:keepLines w:val="0"/>
        <w:pageBreakBefore w:val="0"/>
        <w:widowControl w:val="0"/>
        <w:kinsoku/>
        <w:wordWrap/>
        <w:bidi w:val="0"/>
        <w:snapToGrid/>
        <w:textAlignment w:val="center"/>
        <w:rPr>
          <w:rFonts w:hint="default"/>
          <w:lang w:eastAsia="zh-CN"/>
        </w:rPr>
      </w:pPr>
      <w:r>
        <w:rPr>
          <w:rFonts w:hint="default"/>
          <w:lang w:eastAsia="zh-CN"/>
        </w:rPr>
        <w:t>“功”同樣也在秦簡中多次出現，如在里耶秦簡中，第六層6-37簡“五功六宅”</w:t>
      </w:r>
      <w:r>
        <w:rPr>
          <w:rStyle w:val="26"/>
          <w:rFonts w:hint="default" w:ascii="宋体" w:hAnsi="宋体" w:cs="宋体"/>
          <w:b w:val="0"/>
          <w:bCs w:val="0"/>
          <w:i w:val="0"/>
          <w:iCs w:val="0"/>
          <w:color w:val="auto"/>
          <w:kern w:val="2"/>
          <w:szCs w:val="24"/>
          <w:highlight w:val="none"/>
          <w:lang w:eastAsia="zh-CN" w:bidi="ar-SA"/>
        </w:rPr>
        <w:endnoteReference w:id="36"/>
      </w:r>
      <w:r>
        <w:rPr>
          <w:rFonts w:hint="default"/>
          <w:lang w:eastAsia="zh-CN"/>
        </w:rPr>
        <w:t>，第八層8-1531簡“二人與上功吏”</w:t>
      </w:r>
      <w:r>
        <w:rPr>
          <w:rStyle w:val="26"/>
          <w:rFonts w:hint="default" w:ascii="宋体" w:hAnsi="宋体" w:cs="宋体"/>
          <w:b w:val="0"/>
          <w:bCs w:val="0"/>
          <w:i w:val="0"/>
          <w:iCs w:val="0"/>
          <w:color w:val="auto"/>
          <w:kern w:val="2"/>
          <w:szCs w:val="24"/>
          <w:highlight w:val="none"/>
          <w:lang w:eastAsia="zh-CN" w:bidi="ar-SA"/>
        </w:rPr>
        <w:endnoteReference w:id="37"/>
      </w:r>
      <w:r>
        <w:rPr>
          <w:rFonts w:hint="default"/>
          <w:lang w:eastAsia="zh-CN"/>
        </w:rPr>
        <w:t>。這是“攻”與“功”在秦簡中的幾処具有代表性意義的辭例。經過對上述辭例的分析可知，在里耶秦簡中，除第六層外，其餘辭例中“攻”與“功”均表示“功勞、功績”的意思，第六層的“五功六宅”將“功”與“宅”並列，由漢語的用語習慣可知，二者应當是同一性質的東西，由此可推此處的“功”应當與建築相關；在放馬灘秦簡中，除在《直室門》中“木攻”爲“干政”，其餘幾處“攻”或與“土”連用，或與“木”連用，且在剩下幾篇中結合上下文義，“攻（功）”應指土木工程之意。</w:t>
      </w:r>
    </w:p>
    <w:p w14:paraId="56D31DBC">
      <w:pPr>
        <w:pStyle w:val="38"/>
        <w:keepNext w:val="0"/>
        <w:keepLines w:val="0"/>
        <w:pageBreakBefore w:val="0"/>
        <w:widowControl w:val="0"/>
        <w:kinsoku/>
        <w:wordWrap/>
        <w:bidi w:val="0"/>
        <w:snapToGrid/>
        <w:textAlignment w:val="center"/>
        <w:rPr>
          <w:rFonts w:hint="default"/>
          <w:lang w:eastAsia="zh-CN"/>
        </w:rPr>
      </w:pPr>
      <w:r>
        <w:rPr>
          <w:rFonts w:hint="default"/>
          <w:lang w:eastAsia="zh-CN"/>
        </w:rPr>
        <w:t>在本句“和攻（功）度吏（事）”中，“和”字可依蕭旭先生之言：“以雙聲讀爲覈，字亦作核，考察也</w:t>
      </w:r>
      <w:r>
        <w:rPr>
          <w:rStyle w:val="26"/>
          <w:rFonts w:hint="default" w:ascii="宋体" w:hAnsi="宋体" w:cs="宋体"/>
          <w:b w:val="0"/>
          <w:bCs w:val="0"/>
          <w:i w:val="0"/>
          <w:iCs w:val="0"/>
          <w:color w:val="auto"/>
          <w:kern w:val="2"/>
          <w:szCs w:val="24"/>
          <w:highlight w:val="none"/>
          <w:lang w:eastAsia="zh-CN" w:bidi="ar-SA"/>
        </w:rPr>
        <w:endnoteReference w:id="38"/>
      </w:r>
      <w:r>
        <w:rPr>
          <w:rFonts w:hint="default"/>
          <w:lang w:eastAsia="zh-CN"/>
        </w:rPr>
        <w:t>”，在此應作“考察”之意。“度”在此處應爲“測量、考量”之意，如在《左傳·文公十八年》中：“先君周公制周禮曰：‘則以觀德，德以處事，事以度功，功以食民。’”杜預注：“度，量也。”</w:t>
      </w:r>
      <w:r>
        <w:rPr>
          <w:rStyle w:val="26"/>
          <w:rFonts w:hint="default" w:ascii="宋体" w:hAnsi="宋体" w:cs="宋体"/>
          <w:b w:val="0"/>
          <w:bCs w:val="0"/>
          <w:i w:val="0"/>
          <w:iCs w:val="0"/>
          <w:color w:val="auto"/>
          <w:kern w:val="2"/>
          <w:szCs w:val="24"/>
          <w:highlight w:val="none"/>
          <w:lang w:eastAsia="zh-CN" w:bidi="ar-SA"/>
        </w:rPr>
        <w:endnoteReference w:id="39"/>
      </w:r>
    </w:p>
    <w:p w14:paraId="08F788E9">
      <w:pPr>
        <w:pStyle w:val="38"/>
        <w:keepNext w:val="0"/>
        <w:keepLines w:val="0"/>
        <w:pageBreakBefore w:val="0"/>
        <w:widowControl w:val="0"/>
        <w:kinsoku/>
        <w:wordWrap/>
        <w:bidi w:val="0"/>
        <w:snapToGrid/>
        <w:textAlignment w:val="center"/>
        <w:rPr>
          <w:rFonts w:hint="default"/>
          <w:lang w:eastAsia="zh-CN"/>
        </w:rPr>
      </w:pPr>
      <w:r>
        <w:rPr>
          <w:rFonts w:hint="default"/>
          <w:lang w:eastAsia="zh-CN"/>
        </w:rPr>
        <w:t>對於另外兩字“攻（功）”和“吏（事）”，在本句中，“和攻（功）”與“度吏（事）”相並列，表明“攻”和“吏（事）”应當存在邏輯關係，後文“見（視）土剛（柔），黑白黄赤，蓁厲（萊）津如（洳），立（粒）石之地，各有所宜，非數无以智（知）之</w:t>
      </w:r>
      <w:r>
        <w:rPr>
          <w:rStyle w:val="26"/>
          <w:rFonts w:hint="default" w:ascii="宋体" w:hAnsi="宋体" w:cs="宋体"/>
          <w:b w:val="0"/>
          <w:bCs w:val="0"/>
          <w:i w:val="0"/>
          <w:iCs w:val="0"/>
          <w:color w:val="auto"/>
          <w:kern w:val="2"/>
          <w:szCs w:val="24"/>
          <w:highlight w:val="none"/>
          <w:lang w:eastAsia="zh-CN" w:bidi="ar-SA"/>
        </w:rPr>
        <w:endnoteReference w:id="40"/>
      </w:r>
      <w:r>
        <w:rPr>
          <w:rFonts w:hint="default"/>
          <w:lang w:eastAsia="zh-CN"/>
        </w:rPr>
        <w:t>”所言又與土質土色等工程營造方面的問題相關，將此處“攻（功）”解釋爲“土木工程”的意思，本句語義可解釋爲：考察工程測量工事，需要考察土地軟硬性質、土地顏色，水多之地、水淺砂床之地、靠近岸邊的水深之地、沼澤之地都應該建設各自最適宜的工程，如果沒有數的話就沒辦法知道這些（數據）。此句論述數在工程規劃階段的作用，前文</w:t>
      </w:r>
      <w:r>
        <w:rPr>
          <w:rFonts w:hint="eastAsia"/>
          <w:lang w:val="en-US" w:eastAsia="zh-CN"/>
        </w:rPr>
        <w:t>簡二〇正——簡二一正</w:t>
      </w:r>
      <w:r>
        <w:rPr>
          <w:rFonts w:hint="default"/>
          <w:lang w:eastAsia="zh-CN"/>
        </w:rPr>
        <w:t>“外之城攻（功），斬離（籬）鑿豪（壕），材之方員（圓）細大，溥（薄）厚曼夾（狹），色（絕）契羨杼，斲鑿楅（斧）鋸，水繩規椐（矩）之所折斷，非數无以折之。”一句雖然也在論述工程，但在論述數在工程建造階段的作用，因此二者也並不重複</w:t>
      </w:r>
      <w:r>
        <w:rPr>
          <w:rFonts w:hint="eastAsia"/>
          <w:lang w:eastAsia="zh-CN"/>
        </w:rPr>
        <w:t>，</w:t>
      </w:r>
      <w:r>
        <w:rPr>
          <w:rFonts w:hint="eastAsia"/>
          <w:lang w:val="en-US" w:eastAsia="zh-CN"/>
        </w:rPr>
        <w:t>且“絕契羨杼”、“水繩規矩”所言都是“木攻”之事，而“視土剛柔”後所言都是“土攻”之事，從這一角度上來看，將“攻”釋為“土木工程”使得本部分邏輯貫通</w:t>
      </w:r>
      <w:r>
        <w:rPr>
          <w:rFonts w:hint="default"/>
          <w:lang w:eastAsia="zh-CN"/>
        </w:rPr>
        <w:t>。</w:t>
      </w:r>
    </w:p>
    <w:p w14:paraId="6C32B8F4">
      <w:pPr>
        <w:pStyle w:val="38"/>
        <w:keepNext w:val="0"/>
        <w:keepLines w:val="0"/>
        <w:pageBreakBefore w:val="0"/>
        <w:widowControl w:val="0"/>
        <w:kinsoku/>
        <w:wordWrap/>
        <w:bidi w:val="0"/>
        <w:snapToGrid/>
        <w:textAlignment w:val="center"/>
        <w:rPr>
          <w:rFonts w:hint="eastAsia"/>
          <w:lang w:val="en-US" w:eastAsia="zh-CN"/>
        </w:rPr>
      </w:pPr>
      <w:r>
        <w:rPr>
          <w:rFonts w:hint="eastAsia"/>
          <w:lang w:val="en-US" w:eastAsia="zh-CN"/>
        </w:rPr>
        <w:t>另外，在一些辭例中，</w:t>
      </w:r>
      <w:r>
        <w:rPr>
          <w:rFonts w:hint="default"/>
          <w:lang w:eastAsia="zh-CN"/>
        </w:rPr>
        <w:t>“攻”</w:t>
      </w:r>
      <w:r>
        <w:rPr>
          <w:rFonts w:hint="eastAsia"/>
          <w:lang w:val="en-US" w:eastAsia="zh-CN"/>
        </w:rPr>
        <w:t>可</w:t>
      </w:r>
      <w:r>
        <w:rPr>
          <w:rFonts w:hint="default"/>
          <w:lang w:eastAsia="zh-CN"/>
        </w:rPr>
        <w:t>同“功”，意爲“功勞、功績”</w:t>
      </w:r>
      <w:r>
        <w:rPr>
          <w:rStyle w:val="26"/>
          <w:rFonts w:hint="default" w:ascii="宋体" w:hAnsi="宋体" w:cs="宋体"/>
          <w:b w:val="0"/>
          <w:bCs w:val="0"/>
          <w:i w:val="0"/>
          <w:iCs w:val="0"/>
          <w:color w:val="auto"/>
          <w:kern w:val="2"/>
          <w:szCs w:val="24"/>
          <w:highlight w:val="none"/>
          <w:lang w:eastAsia="zh-CN" w:bidi="ar-SA"/>
        </w:rPr>
        <w:endnoteReference w:id="41"/>
      </w:r>
      <w:r>
        <w:rPr>
          <w:rFonts w:hint="default"/>
          <w:lang w:eastAsia="zh-CN"/>
        </w:rPr>
        <w:t>，</w:t>
      </w:r>
      <w:r>
        <w:rPr>
          <w:rFonts w:hint="eastAsia"/>
          <w:lang w:val="en-US" w:eastAsia="zh-CN"/>
        </w:rPr>
        <w:t>若是以此來解讀</w:t>
      </w:r>
      <w:r>
        <w:rPr>
          <w:rFonts w:hint="default"/>
          <w:lang w:eastAsia="zh-CN"/>
        </w:rPr>
        <w:t>，“功”和“事”都是考覈考察官員的觀察客體</w:t>
      </w:r>
      <w:r>
        <w:rPr>
          <w:rFonts w:hint="eastAsia"/>
          <w:lang w:eastAsia="zh-CN"/>
        </w:rPr>
        <w:t>，</w:t>
      </w:r>
      <w:r>
        <w:rPr>
          <w:rFonts w:hint="default"/>
          <w:lang w:eastAsia="zh-CN"/>
        </w:rPr>
        <w:t>此處“和攻（功）度吏（事）”應是與官員評價體系有關。</w:t>
      </w:r>
      <w:r>
        <w:rPr>
          <w:rFonts w:hint="eastAsia"/>
          <w:lang w:val="en-US" w:eastAsia="zh-CN"/>
        </w:rPr>
        <w:t>但是在簡一五正到簡二三正這一部分陳起所舉出的有關數的作用的數個並列的排比句中，並沒有提到吏治的問題，並且對官員的考察並非僅依據土地利用情況進行判斷，所以此句中“攻”並非是“功勞、功績”之意。</w:t>
      </w:r>
    </w:p>
    <w:p w14:paraId="641050EF">
      <w:pPr>
        <w:pStyle w:val="38"/>
        <w:keepNext w:val="0"/>
        <w:keepLines w:val="0"/>
        <w:pageBreakBefore w:val="0"/>
        <w:widowControl w:val="0"/>
        <w:kinsoku/>
        <w:wordWrap/>
        <w:bidi w:val="0"/>
        <w:snapToGrid/>
        <w:textAlignment w:val="center"/>
        <w:rPr>
          <w:rFonts w:hint="default"/>
          <w:lang w:val="en-US" w:eastAsia="zh-CN"/>
        </w:rPr>
      </w:pPr>
      <w:r>
        <w:rPr>
          <w:rFonts w:hint="eastAsia"/>
          <w:lang w:val="en-US" w:eastAsia="zh-CN"/>
        </w:rPr>
        <w:t>綜上所述，“攻”字當依字讀，作土木工程之義。</w:t>
      </w:r>
    </w:p>
    <w:p w14:paraId="3F8FBE0E">
      <w:pPr>
        <w:pStyle w:val="38"/>
        <w:keepNext w:val="0"/>
        <w:keepLines w:val="0"/>
        <w:pageBreakBefore w:val="0"/>
        <w:widowControl w:val="0"/>
        <w:kinsoku/>
        <w:wordWrap/>
        <w:bidi w:val="0"/>
        <w:snapToGrid/>
        <w:textAlignment w:val="center"/>
        <w:rPr>
          <w:rFonts w:hint="default"/>
          <w:lang w:eastAsia="zh-CN"/>
        </w:rPr>
      </w:pPr>
    </w:p>
    <w:p w14:paraId="5C029045">
      <w:pPr>
        <w:pStyle w:val="38"/>
        <w:keepNext w:val="0"/>
        <w:keepLines w:val="0"/>
        <w:pageBreakBefore w:val="0"/>
        <w:widowControl w:val="0"/>
        <w:kinsoku/>
        <w:wordWrap/>
        <w:bidi w:val="0"/>
        <w:snapToGrid/>
        <w:ind w:firstLine="560"/>
        <w:jc w:val="right"/>
        <w:textAlignment w:val="center"/>
        <w:rPr>
          <w:rFonts w:hint="eastAsia"/>
        </w:rPr>
      </w:pPr>
    </w:p>
    <w:bookmarkEnd w:id="1"/>
    <w:sectPr>
      <w:headerReference r:id="rId4" w:type="default"/>
      <w:footerReference r:id="rId5" w:type="default"/>
      <w:footerReference r:id="rId6" w:type="even"/>
      <w:endnotePr>
        <w:numFmt w:val="decimal"/>
      </w:endnotePr>
      <w:pgSz w:w="11906" w:h="16838"/>
      <w:pgMar w:top="1440" w:right="1800" w:bottom="1440" w:left="1800" w:header="851" w:footer="992" w:gutter="0"/>
      <w:cols w:space="425"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84">
    <w:p>
      <w:r>
        <w:separator/>
      </w:r>
    </w:p>
  </w:endnote>
  <w:endnote w:type="continuationSeparator" w:id="85">
    <w:p>
      <w:r>
        <w:continuationSeparator/>
      </w:r>
    </w:p>
  </w:endnote>
  <w:endnote w:id="0">
    <w:p w14:paraId="130E9614">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rFonts w:hint="eastAsia"/>
          <w:sz w:val="24"/>
          <w:szCs w:val="24"/>
          <w:lang w:val="en-US" w:eastAsia="zh-CN"/>
        </w:rPr>
        <w:t>韓巍：《北大藏秦簡&lt;魯久次問數于陳起&gt;初讀》，《北京大學學報（哲學社會科學版）》，2015年第2期，第</w:t>
      </w:r>
      <w:r>
        <w:rPr>
          <w:rFonts w:hint="default"/>
          <w:sz w:val="24"/>
          <w:szCs w:val="24"/>
          <w:lang w:val="en-US" w:eastAsia="zh-CN"/>
        </w:rPr>
        <w:t>29-36</w:t>
      </w:r>
      <w:r>
        <w:rPr>
          <w:rFonts w:hint="eastAsia"/>
          <w:sz w:val="24"/>
          <w:szCs w:val="24"/>
          <w:lang w:val="en-US" w:eastAsia="zh-CN"/>
        </w:rPr>
        <w:t>頁。韓巍先生在本篇文章中提到按照出土簡帛古書命名習慣，將位於《算書》甲種開頭部分的文章命名為《魯久次問數于陳起》。</w:t>
      </w:r>
    </w:p>
  </w:endnote>
  <w:endnote w:id="1">
    <w:p w14:paraId="20FBAFB9">
      <w:pPr>
        <w:pStyle w:val="18"/>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rFonts w:hint="eastAsia"/>
          <w:sz w:val="24"/>
          <w:szCs w:val="24"/>
        </w:rPr>
        <w:t>方</w:t>
      </w:r>
      <w:r>
        <w:rPr>
          <w:rFonts w:hint="default"/>
          <w:sz w:val="24"/>
          <w:szCs w:val="24"/>
        </w:rPr>
        <w:t>勇</w:t>
      </w:r>
      <w:r>
        <w:rPr>
          <w:rFonts w:hint="eastAsia"/>
          <w:sz w:val="24"/>
          <w:szCs w:val="24"/>
        </w:rPr>
        <w:t>：《北大秦簡札記之十》，簡帛網</w:t>
      </w:r>
      <w:r>
        <w:rPr>
          <w:rFonts w:hint="eastAsia"/>
          <w:sz w:val="24"/>
          <w:szCs w:val="24"/>
          <w:lang w:eastAsia="zh-CN"/>
        </w:rPr>
        <w:t>，</w:t>
      </w:r>
      <w:r>
        <w:rPr>
          <w:rFonts w:hint="eastAsia"/>
          <w:sz w:val="24"/>
          <w:szCs w:val="24"/>
        </w:rPr>
        <w:t>2023 年 11 月 13 日，http://www.bsm.org.cn/?qinjian/9258.html。</w:t>
      </w:r>
    </w:p>
  </w:endnote>
  <w:endnote w:id="2">
    <w:p w14:paraId="205F1D40">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張宇鑫</w:t>
      </w:r>
      <w:r>
        <w:rPr>
          <w:rFonts w:hint="eastAsia"/>
          <w:sz w:val="24"/>
          <w:szCs w:val="24"/>
          <w:lang w:eastAsia="zh-CN"/>
        </w:rPr>
        <w:t>：《</w:t>
      </w:r>
      <w:r>
        <w:rPr>
          <w:rFonts w:hint="eastAsia"/>
          <w:sz w:val="24"/>
          <w:szCs w:val="24"/>
          <w:lang w:val="en-US" w:eastAsia="zh-CN"/>
        </w:rPr>
        <w:t>&lt;</w:t>
      </w:r>
      <w:r>
        <w:rPr>
          <w:rFonts w:hint="default"/>
          <w:sz w:val="24"/>
          <w:szCs w:val="24"/>
        </w:rPr>
        <w:t>北京大學藏秦簡牘</w:t>
      </w:r>
      <w:r>
        <w:rPr>
          <w:rFonts w:hint="eastAsia"/>
          <w:sz w:val="24"/>
          <w:szCs w:val="24"/>
          <w:lang w:val="en-US" w:eastAsia="zh-CN"/>
        </w:rPr>
        <w:t>&gt;</w:t>
      </w:r>
      <w:r>
        <w:rPr>
          <w:rFonts w:hint="default"/>
          <w:sz w:val="24"/>
          <w:szCs w:val="24"/>
        </w:rPr>
        <w:t>數學文獻集釋及相關問題研究</w:t>
      </w:r>
      <w:r>
        <w:rPr>
          <w:rFonts w:hint="eastAsia"/>
          <w:sz w:val="24"/>
          <w:szCs w:val="24"/>
          <w:lang w:eastAsia="zh-CN"/>
        </w:rPr>
        <w:t>》，</w:t>
      </w:r>
      <w:r>
        <w:rPr>
          <w:rFonts w:hint="eastAsia"/>
          <w:sz w:val="24"/>
          <w:szCs w:val="24"/>
          <w:lang w:val="en-US" w:eastAsia="zh-CN"/>
        </w:rPr>
        <w:t>碩士学位論文，</w:t>
      </w:r>
      <w:r>
        <w:rPr>
          <w:rFonts w:hint="default"/>
          <w:sz w:val="24"/>
          <w:szCs w:val="24"/>
        </w:rPr>
        <w:t>武漢大學</w:t>
      </w:r>
      <w:r>
        <w:rPr>
          <w:rFonts w:hint="eastAsia"/>
          <w:sz w:val="24"/>
          <w:szCs w:val="24"/>
          <w:lang w:val="en-US" w:eastAsia="zh-CN"/>
        </w:rPr>
        <w:t>歴史系，</w:t>
      </w:r>
      <w:r>
        <w:rPr>
          <w:rFonts w:hint="default"/>
          <w:sz w:val="24"/>
          <w:szCs w:val="24"/>
        </w:rPr>
        <w:t>2024</w:t>
      </w:r>
      <w:r>
        <w:rPr>
          <w:rFonts w:hint="eastAsia"/>
          <w:sz w:val="24"/>
          <w:szCs w:val="24"/>
          <w:lang w:val="en-US" w:eastAsia="zh-CN"/>
        </w:rPr>
        <w:t>年，第</w:t>
      </w:r>
      <w:r>
        <w:rPr>
          <w:rFonts w:hint="default"/>
          <w:sz w:val="24"/>
          <w:szCs w:val="24"/>
        </w:rPr>
        <w:t>30頁</w:t>
      </w:r>
      <w:r>
        <w:rPr>
          <w:rFonts w:hint="eastAsia"/>
          <w:sz w:val="24"/>
          <w:szCs w:val="24"/>
          <w:lang w:eastAsia="zh-CN"/>
        </w:rPr>
        <w:t>。</w:t>
      </w:r>
    </w:p>
  </w:endnote>
  <w:endnote w:id="3">
    <w:p w14:paraId="5FA0F32B">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（清）段玉裁撰：《說文解字注》，北京：中華書局，</w:t>
      </w:r>
      <w:r>
        <w:rPr>
          <w:rFonts w:hint="default"/>
          <w:sz w:val="24"/>
          <w:szCs w:val="24"/>
        </w:rPr>
        <w:t>2013年，第278頁。</w:t>
      </w:r>
    </w:p>
  </w:endnote>
  <w:endnote w:id="4">
    <w:p w14:paraId="3E2D6D17">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（宋）丁度：《集韻》，上海：上海古籍出版社，</w:t>
      </w:r>
      <w:r>
        <w:rPr>
          <w:rFonts w:hint="default"/>
          <w:sz w:val="24"/>
          <w:szCs w:val="24"/>
        </w:rPr>
        <w:t>1985年版，第474頁。</w:t>
      </w:r>
    </w:p>
  </w:endnote>
  <w:endnote w:id="5">
    <w:p w14:paraId="188CA903">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rFonts w:hint="eastAsia"/>
          <w:sz w:val="24"/>
          <w:szCs w:val="24"/>
          <w:lang w:val="en-US" w:eastAsia="zh-CN"/>
        </w:rPr>
        <w:t xml:space="preserve"> </w:t>
      </w:r>
      <w:r>
        <w:rPr>
          <w:sz w:val="24"/>
          <w:szCs w:val="24"/>
        </w:rPr>
        <w:t>陳偉主編</w:t>
      </w:r>
      <w:r>
        <w:rPr>
          <w:rFonts w:hint="eastAsia"/>
          <w:sz w:val="24"/>
          <w:szCs w:val="24"/>
          <w:lang w:eastAsia="zh-CN"/>
        </w:rPr>
        <w:t>：</w:t>
      </w:r>
      <w:r>
        <w:rPr>
          <w:sz w:val="24"/>
          <w:szCs w:val="24"/>
        </w:rPr>
        <w:t>《秦簡牘合集</w:t>
      </w:r>
      <w:r>
        <w:rPr>
          <w:rFonts w:hint="default"/>
          <w:sz w:val="24"/>
          <w:szCs w:val="24"/>
        </w:rPr>
        <w:t>[壹]</w:t>
      </w:r>
      <w:r>
        <w:rPr>
          <w:sz w:val="24"/>
          <w:szCs w:val="24"/>
        </w:rPr>
        <w:t>》</w:t>
      </w:r>
      <w:r>
        <w:rPr>
          <w:rFonts w:hint="eastAsia"/>
          <w:sz w:val="24"/>
          <w:szCs w:val="24"/>
          <w:lang w:eastAsia="zh-CN"/>
        </w:rPr>
        <w:t>，</w:t>
      </w:r>
      <w:r>
        <w:rPr>
          <w:sz w:val="24"/>
          <w:szCs w:val="24"/>
        </w:rPr>
        <w:t>武漢</w:t>
      </w:r>
      <w:r>
        <w:rPr>
          <w:rFonts w:hint="eastAsia"/>
          <w:sz w:val="24"/>
          <w:szCs w:val="24"/>
          <w:lang w:eastAsia="zh-CN"/>
        </w:rPr>
        <w:t>：</w:t>
      </w:r>
      <w:r>
        <w:rPr>
          <w:sz w:val="24"/>
          <w:szCs w:val="24"/>
        </w:rPr>
        <w:t>武漢大學出版社</w:t>
      </w:r>
      <w:r>
        <w:rPr>
          <w:rFonts w:hint="eastAsia"/>
          <w:sz w:val="24"/>
          <w:szCs w:val="24"/>
          <w:lang w:eastAsia="zh-CN"/>
        </w:rPr>
        <w:t>，</w:t>
      </w:r>
      <w:r>
        <w:rPr>
          <w:rFonts w:hint="default"/>
          <w:sz w:val="24"/>
          <w:szCs w:val="24"/>
        </w:rPr>
        <w:t>2014年</w:t>
      </w:r>
      <w:r>
        <w:rPr>
          <w:rFonts w:hint="eastAsia"/>
          <w:sz w:val="24"/>
          <w:szCs w:val="24"/>
          <w:lang w:eastAsia="zh-CN"/>
        </w:rPr>
        <w:t>，</w:t>
      </w:r>
      <w:r>
        <w:rPr>
          <w:rFonts w:hint="eastAsia"/>
          <w:sz w:val="24"/>
          <w:szCs w:val="24"/>
          <w:lang w:val="en-US" w:eastAsia="zh-CN"/>
        </w:rPr>
        <w:t>第</w:t>
      </w:r>
      <w:r>
        <w:rPr>
          <w:rFonts w:hint="default"/>
          <w:sz w:val="24"/>
          <w:szCs w:val="24"/>
        </w:rPr>
        <w:t>161頁</w:t>
      </w:r>
      <w:r>
        <w:rPr>
          <w:rFonts w:hint="eastAsia"/>
          <w:sz w:val="24"/>
          <w:szCs w:val="24"/>
          <w:lang w:eastAsia="zh-CN"/>
        </w:rPr>
        <w:t>。</w:t>
      </w:r>
    </w:p>
  </w:endnote>
  <w:endnote w:id="6">
    <w:p w14:paraId="34A5C967">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（清）段玉裁撰：《說文解字注》</w:t>
      </w:r>
      <w:r>
        <w:rPr>
          <w:rFonts w:hint="default"/>
          <w:sz w:val="24"/>
          <w:szCs w:val="24"/>
        </w:rPr>
        <w:t>，第278頁。</w:t>
      </w:r>
    </w:p>
  </w:endnote>
  <w:endnote w:id="7">
    <w:p w14:paraId="157BB20D">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rFonts w:hint="eastAsia"/>
          <w:sz w:val="24"/>
          <w:szCs w:val="24"/>
          <w:lang w:val="en-US" w:eastAsia="zh-CN"/>
        </w:rPr>
        <w:t xml:space="preserve"> </w:t>
      </w:r>
      <w:r>
        <w:rPr>
          <w:sz w:val="24"/>
          <w:szCs w:val="24"/>
        </w:rPr>
        <w:t>陳偉主編</w:t>
      </w:r>
      <w:r>
        <w:rPr>
          <w:rFonts w:hint="eastAsia"/>
          <w:sz w:val="24"/>
          <w:szCs w:val="24"/>
          <w:lang w:eastAsia="zh-CN"/>
        </w:rPr>
        <w:t>：</w:t>
      </w:r>
      <w:r>
        <w:rPr>
          <w:sz w:val="24"/>
          <w:szCs w:val="24"/>
        </w:rPr>
        <w:t>《秦簡牘合集</w:t>
      </w:r>
      <w:r>
        <w:rPr>
          <w:rFonts w:hint="default"/>
          <w:sz w:val="24"/>
          <w:szCs w:val="24"/>
        </w:rPr>
        <w:t>[壹]</w:t>
      </w:r>
      <w:r>
        <w:rPr>
          <w:sz w:val="24"/>
          <w:szCs w:val="24"/>
        </w:rPr>
        <w:t>》</w:t>
      </w:r>
      <w:r>
        <w:rPr>
          <w:rFonts w:hint="eastAsia"/>
          <w:sz w:val="24"/>
          <w:szCs w:val="24"/>
          <w:lang w:eastAsia="zh-CN"/>
        </w:rPr>
        <w:t>，</w:t>
      </w:r>
      <w:r>
        <w:rPr>
          <w:rFonts w:hint="eastAsia"/>
          <w:sz w:val="24"/>
          <w:szCs w:val="24"/>
          <w:lang w:val="en-US" w:eastAsia="zh-CN"/>
        </w:rPr>
        <w:t>第</w:t>
      </w:r>
      <w:r>
        <w:rPr>
          <w:rFonts w:hint="default"/>
          <w:sz w:val="24"/>
          <w:szCs w:val="24"/>
        </w:rPr>
        <w:t>160頁</w:t>
      </w:r>
      <w:r>
        <w:rPr>
          <w:rFonts w:hint="eastAsia"/>
          <w:sz w:val="24"/>
          <w:szCs w:val="24"/>
          <w:lang w:eastAsia="zh-CN"/>
        </w:rPr>
        <w:t>。</w:t>
      </w:r>
    </w:p>
  </w:endnote>
  <w:endnote w:id="8">
    <w:p w14:paraId="192BD16E">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rFonts w:hint="eastAsia"/>
          <w:sz w:val="24"/>
          <w:szCs w:val="24"/>
          <w:lang w:val="en-US" w:eastAsia="zh-CN"/>
        </w:rPr>
        <w:t>睡虎地秦墓竹簡整理小組編：《睡虎地秦墓竹簡》，北京：文物出版社，1990年，第74頁。</w:t>
      </w:r>
    </w:p>
  </w:endnote>
  <w:endnote w:id="9">
    <w:p w14:paraId="56DA7E3C">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張家山二四七號漢墓竹簡整理小組編著：《張家山漢墓竹簡</w:t>
      </w:r>
      <w:r>
        <w:rPr>
          <w:rFonts w:hint="default"/>
          <w:sz w:val="24"/>
          <w:szCs w:val="24"/>
        </w:rPr>
        <w:t>[二四七號墓]：釋文修訂本</w:t>
      </w:r>
      <w:r>
        <w:rPr>
          <w:sz w:val="24"/>
          <w:szCs w:val="24"/>
        </w:rPr>
        <w:t>》，北京：文物出版社，</w:t>
      </w:r>
      <w:r>
        <w:rPr>
          <w:rFonts w:hint="default"/>
          <w:sz w:val="24"/>
          <w:szCs w:val="24"/>
        </w:rPr>
        <w:t>2006年，第147頁。</w:t>
      </w:r>
    </w:p>
  </w:endnote>
  <w:endnote w:id="10">
    <w:p w14:paraId="3B209EB7">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陳偉主編</w:t>
      </w:r>
      <w:r>
        <w:rPr>
          <w:rFonts w:hint="eastAsia"/>
          <w:sz w:val="24"/>
          <w:szCs w:val="24"/>
          <w:lang w:eastAsia="zh-CN"/>
        </w:rPr>
        <w:t>：</w:t>
      </w:r>
      <w:r>
        <w:rPr>
          <w:sz w:val="24"/>
          <w:szCs w:val="24"/>
        </w:rPr>
        <w:t>《秦簡牘合集</w:t>
      </w:r>
      <w:r>
        <w:rPr>
          <w:rFonts w:hint="default"/>
          <w:sz w:val="24"/>
          <w:szCs w:val="24"/>
        </w:rPr>
        <w:t>[壹]</w:t>
      </w:r>
      <w:r>
        <w:rPr>
          <w:sz w:val="24"/>
          <w:szCs w:val="24"/>
        </w:rPr>
        <w:t>》</w:t>
      </w:r>
      <w:r>
        <w:rPr>
          <w:rFonts w:hint="eastAsia"/>
          <w:sz w:val="24"/>
          <w:szCs w:val="24"/>
          <w:lang w:eastAsia="zh-CN"/>
        </w:rPr>
        <w:t>，</w:t>
      </w:r>
      <w:r>
        <w:rPr>
          <w:rFonts w:hint="eastAsia"/>
          <w:sz w:val="24"/>
          <w:szCs w:val="24"/>
          <w:lang w:val="en-US" w:eastAsia="zh-CN"/>
        </w:rPr>
        <w:t>第</w:t>
      </w:r>
      <w:r>
        <w:rPr>
          <w:rFonts w:hint="default"/>
          <w:sz w:val="24"/>
          <w:szCs w:val="24"/>
        </w:rPr>
        <w:t>72頁</w:t>
      </w:r>
      <w:r>
        <w:rPr>
          <w:rFonts w:hint="eastAsia"/>
          <w:sz w:val="24"/>
          <w:szCs w:val="24"/>
          <w:lang w:eastAsia="zh-CN"/>
        </w:rPr>
        <w:t>。</w:t>
      </w:r>
    </w:p>
  </w:endnote>
  <w:endnote w:id="11">
    <w:p w14:paraId="3D4ACD59">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rFonts w:hint="eastAsia"/>
          <w:sz w:val="24"/>
          <w:szCs w:val="24"/>
          <w:lang w:val="en-US" w:eastAsia="zh-CN"/>
        </w:rPr>
        <w:t xml:space="preserve"> </w:t>
      </w:r>
      <w:r>
        <w:rPr>
          <w:sz w:val="24"/>
          <w:szCs w:val="24"/>
        </w:rPr>
        <w:t>陳偉主編</w:t>
      </w:r>
      <w:r>
        <w:rPr>
          <w:rFonts w:hint="eastAsia"/>
          <w:sz w:val="24"/>
          <w:szCs w:val="24"/>
          <w:lang w:eastAsia="zh-CN"/>
        </w:rPr>
        <w:t>：</w:t>
      </w:r>
      <w:r>
        <w:rPr>
          <w:sz w:val="24"/>
          <w:szCs w:val="24"/>
        </w:rPr>
        <w:t>《秦簡牘合集</w:t>
      </w:r>
      <w:r>
        <w:rPr>
          <w:rFonts w:hint="default"/>
          <w:sz w:val="24"/>
          <w:szCs w:val="24"/>
        </w:rPr>
        <w:t>[壹]</w:t>
      </w:r>
      <w:r>
        <w:rPr>
          <w:sz w:val="24"/>
          <w:szCs w:val="24"/>
        </w:rPr>
        <w:t>》</w:t>
      </w:r>
      <w:r>
        <w:rPr>
          <w:rFonts w:hint="eastAsia"/>
          <w:sz w:val="24"/>
          <w:szCs w:val="24"/>
          <w:lang w:eastAsia="zh-CN"/>
        </w:rPr>
        <w:t>，</w:t>
      </w:r>
      <w:r>
        <w:rPr>
          <w:rFonts w:hint="eastAsia"/>
          <w:sz w:val="24"/>
          <w:szCs w:val="24"/>
          <w:lang w:val="en-US" w:eastAsia="zh-CN"/>
        </w:rPr>
        <w:t>第</w:t>
      </w:r>
      <w:r>
        <w:rPr>
          <w:rFonts w:hint="default"/>
          <w:sz w:val="24"/>
          <w:szCs w:val="24"/>
        </w:rPr>
        <w:t>161頁</w:t>
      </w:r>
      <w:r>
        <w:rPr>
          <w:rFonts w:hint="eastAsia"/>
          <w:sz w:val="24"/>
          <w:szCs w:val="24"/>
          <w:lang w:eastAsia="zh-CN"/>
        </w:rPr>
        <w:t>。</w:t>
      </w:r>
    </w:p>
  </w:endnote>
  <w:endnote w:id="12">
    <w:p w14:paraId="13A807B0">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陳偉主編</w:t>
      </w:r>
      <w:r>
        <w:rPr>
          <w:rFonts w:hint="eastAsia"/>
          <w:sz w:val="24"/>
          <w:szCs w:val="24"/>
          <w:lang w:eastAsia="zh-CN"/>
        </w:rPr>
        <w:t>：</w:t>
      </w:r>
      <w:r>
        <w:rPr>
          <w:sz w:val="24"/>
          <w:szCs w:val="24"/>
        </w:rPr>
        <w:t>《秦簡牘合集</w:t>
      </w:r>
      <w:r>
        <w:rPr>
          <w:rFonts w:hint="default"/>
          <w:sz w:val="24"/>
          <w:szCs w:val="24"/>
        </w:rPr>
        <w:t>[壹]</w:t>
      </w:r>
      <w:r>
        <w:rPr>
          <w:sz w:val="24"/>
          <w:szCs w:val="24"/>
        </w:rPr>
        <w:t>》</w:t>
      </w:r>
      <w:r>
        <w:rPr>
          <w:rFonts w:hint="eastAsia"/>
          <w:sz w:val="24"/>
          <w:szCs w:val="24"/>
          <w:lang w:eastAsia="zh-CN"/>
        </w:rPr>
        <w:t>，</w:t>
      </w:r>
      <w:r>
        <w:rPr>
          <w:rFonts w:hint="eastAsia"/>
          <w:sz w:val="24"/>
          <w:szCs w:val="24"/>
          <w:lang w:val="en-US" w:eastAsia="zh-CN"/>
        </w:rPr>
        <w:t>第</w:t>
      </w:r>
      <w:r>
        <w:rPr>
          <w:rFonts w:hint="default"/>
          <w:sz w:val="24"/>
          <w:szCs w:val="24"/>
        </w:rPr>
        <w:t>161</w:t>
      </w:r>
      <w:r>
        <w:rPr>
          <w:rFonts w:hint="eastAsia"/>
          <w:sz w:val="24"/>
          <w:szCs w:val="24"/>
          <w:lang w:val="en-US" w:eastAsia="zh-CN"/>
        </w:rPr>
        <w:t>-162</w:t>
      </w:r>
      <w:r>
        <w:rPr>
          <w:rFonts w:hint="default"/>
          <w:sz w:val="24"/>
          <w:szCs w:val="24"/>
        </w:rPr>
        <w:t>頁</w:t>
      </w:r>
      <w:r>
        <w:rPr>
          <w:rFonts w:hint="eastAsia"/>
          <w:sz w:val="24"/>
          <w:szCs w:val="24"/>
          <w:lang w:eastAsia="zh-CN"/>
        </w:rPr>
        <w:t>。</w:t>
      </w:r>
    </w:p>
  </w:endnote>
  <w:endnote w:id="13">
    <w:p w14:paraId="1AC8AED3">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湖南省文物考古研究所：《里耶秦簡（貳）》，北京：文物出版社，</w:t>
      </w:r>
      <w:r>
        <w:rPr>
          <w:rFonts w:hint="default"/>
          <w:sz w:val="24"/>
          <w:szCs w:val="24"/>
        </w:rPr>
        <w:t>2017年，第116頁。</w:t>
      </w:r>
    </w:p>
  </w:endnote>
  <w:endnote w:id="14">
    <w:p w14:paraId="1C27DD8F">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湖南省文物考古研究所：《里耶秦簡（壹）》，北京：文物出版社，</w:t>
      </w:r>
      <w:r>
        <w:rPr>
          <w:rFonts w:hint="default"/>
          <w:sz w:val="24"/>
          <w:szCs w:val="24"/>
        </w:rPr>
        <w:t>2012年，第12頁。</w:t>
      </w:r>
    </w:p>
  </w:endnote>
  <w:endnote w:id="15">
    <w:p w14:paraId="027F9D1A">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rFonts w:hint="eastAsia"/>
          <w:sz w:val="24"/>
          <w:szCs w:val="24"/>
          <w:lang w:val="en-US" w:eastAsia="zh-CN"/>
        </w:rPr>
        <w:t>白於藍：《戰國秦漢簡帛古書通假字彚纂》，福州：福建人民出版社，2012年，第644-647頁。</w:t>
      </w:r>
    </w:p>
  </w:endnote>
  <w:endnote w:id="16">
    <w:p w14:paraId="297D5801">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sz w:val="24"/>
          <w:szCs w:val="24"/>
          <w:lang w:val="en-US"/>
        </w:rPr>
        <w:t>中國社會科學院考古研究所編：《殷周金文集成釋文·第1卷》，香港：香港中文大學出版社，2001年，第64頁。</w:t>
      </w:r>
    </w:p>
  </w:endnote>
  <w:endnote w:id="17">
    <w:p w14:paraId="1BD31B2E">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中國社會科學院考古研究所編：《殷周金文集成釋文</w:t>
      </w:r>
      <w:r>
        <w:rPr>
          <w:rFonts w:hint="default"/>
          <w:sz w:val="24"/>
          <w:szCs w:val="24"/>
        </w:rPr>
        <w:t>·第6卷</w:t>
      </w:r>
      <w:r>
        <w:rPr>
          <w:sz w:val="24"/>
          <w:szCs w:val="24"/>
        </w:rPr>
        <w:t>》，香港：香港中文大學出版社，</w:t>
      </w:r>
      <w:r>
        <w:rPr>
          <w:rFonts w:hint="default"/>
          <w:sz w:val="24"/>
          <w:szCs w:val="24"/>
        </w:rPr>
        <w:t>2001年，</w:t>
      </w:r>
      <w:r>
        <w:rPr>
          <w:sz w:val="24"/>
          <w:szCs w:val="24"/>
          <w:lang w:val="en-US"/>
        </w:rPr>
        <w:t>第632頁。</w:t>
      </w:r>
    </w:p>
  </w:endnote>
  <w:endnote w:id="18">
    <w:p w14:paraId="11D6E242">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于省吾：《“鄂君啟節”考釋》，《考古》，</w:t>
      </w:r>
      <w:r>
        <w:rPr>
          <w:rFonts w:hint="default"/>
          <w:sz w:val="24"/>
          <w:szCs w:val="24"/>
        </w:rPr>
        <w:t>1963年第8期，第443頁。</w:t>
      </w:r>
    </w:p>
  </w:endnote>
  <w:endnote w:id="19">
    <w:p w14:paraId="264DFC63">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吳鎮烽：《商周青銅器銘文暨圖像集成：第</w:t>
      </w:r>
      <w:r>
        <w:rPr>
          <w:rFonts w:hint="default"/>
          <w:sz w:val="24"/>
          <w:szCs w:val="24"/>
        </w:rPr>
        <w:t>12卷</w:t>
      </w:r>
      <w:r>
        <w:rPr>
          <w:sz w:val="24"/>
          <w:szCs w:val="24"/>
        </w:rPr>
        <w:t>》，上海：上海古籍出版社，</w:t>
      </w:r>
      <w:r>
        <w:rPr>
          <w:rFonts w:hint="default"/>
          <w:sz w:val="24"/>
          <w:szCs w:val="24"/>
        </w:rPr>
        <w:t>2012年，第176-177頁。</w:t>
      </w:r>
    </w:p>
  </w:endnote>
  <w:endnote w:id="20">
    <w:p w14:paraId="6A21A800">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陳佩芬：《夏商周青銅器研究</w:t>
      </w:r>
      <w:r>
        <w:rPr>
          <w:rFonts w:hint="default"/>
          <w:sz w:val="24"/>
          <w:szCs w:val="24"/>
        </w:rPr>
        <w:t>·西周篇</w:t>
      </w:r>
      <w:r>
        <w:rPr>
          <w:sz w:val="24"/>
          <w:szCs w:val="24"/>
        </w:rPr>
        <w:t>》，上海：上海古籍出版社，</w:t>
      </w:r>
      <w:r>
        <w:rPr>
          <w:rFonts w:hint="default"/>
          <w:sz w:val="24"/>
          <w:szCs w:val="24"/>
        </w:rPr>
        <w:t>2004年，第136-137頁。</w:t>
      </w:r>
    </w:p>
  </w:endnote>
  <w:endnote w:id="21">
    <w:p w14:paraId="3DD41FDC">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中國社會科學院考古研究所編：《殷周金文集成</w:t>
      </w:r>
      <w:r>
        <w:rPr>
          <w:rFonts w:hint="default"/>
          <w:sz w:val="24"/>
          <w:szCs w:val="24"/>
        </w:rPr>
        <w:t xml:space="preserve"> 修訂增補本·第七冊</w:t>
      </w:r>
      <w:r>
        <w:rPr>
          <w:sz w:val="24"/>
          <w:szCs w:val="24"/>
        </w:rPr>
        <w:t>》，北京：中華書局，</w:t>
      </w:r>
      <w:r>
        <w:rPr>
          <w:rFonts w:hint="default"/>
          <w:sz w:val="24"/>
          <w:szCs w:val="24"/>
        </w:rPr>
        <w:t>2007年，</w:t>
      </w:r>
      <w:r>
        <w:rPr>
          <w:sz w:val="24"/>
          <w:szCs w:val="24"/>
        </w:rPr>
        <w:t>第</w:t>
      </w:r>
      <w:r>
        <w:rPr>
          <w:rFonts w:hint="default"/>
          <w:sz w:val="24"/>
          <w:szCs w:val="24"/>
        </w:rPr>
        <w:t>5481頁。</w:t>
      </w:r>
    </w:p>
  </w:endnote>
  <w:endnote w:id="22">
    <w:p w14:paraId="71CA7030">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中國社會科學院考古研究所編：《殷周金文集成釋文</w:t>
      </w:r>
      <w:r>
        <w:rPr>
          <w:rFonts w:hint="default"/>
          <w:sz w:val="24"/>
          <w:szCs w:val="24"/>
        </w:rPr>
        <w:t>·第1卷</w:t>
      </w:r>
      <w:r>
        <w:rPr>
          <w:sz w:val="24"/>
          <w:szCs w:val="24"/>
        </w:rPr>
        <w:t>》，香港：香港中文大學出版社，</w:t>
      </w:r>
      <w:r>
        <w:rPr>
          <w:rFonts w:hint="default"/>
          <w:sz w:val="24"/>
          <w:szCs w:val="24"/>
        </w:rPr>
        <w:t>2001年，</w:t>
      </w:r>
      <w:r>
        <w:rPr>
          <w:sz w:val="24"/>
          <w:szCs w:val="24"/>
        </w:rPr>
        <w:t>第</w:t>
      </w:r>
      <w:r>
        <w:rPr>
          <w:rFonts w:hint="default"/>
          <w:sz w:val="24"/>
          <w:szCs w:val="24"/>
        </w:rPr>
        <w:t>464頁。</w:t>
      </w:r>
    </w:p>
  </w:endnote>
  <w:endnote w:id="23">
    <w:p w14:paraId="21A363CF">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中國社會科學院考古研究所編：《殷周金文集成釋文</w:t>
      </w:r>
      <w:r>
        <w:rPr>
          <w:rFonts w:hint="default"/>
          <w:sz w:val="24"/>
          <w:szCs w:val="24"/>
        </w:rPr>
        <w:t>·第1卷</w:t>
      </w:r>
      <w:r>
        <w:rPr>
          <w:sz w:val="24"/>
          <w:szCs w:val="24"/>
        </w:rPr>
        <w:t>》</w:t>
      </w:r>
      <w:r>
        <w:rPr>
          <w:rFonts w:hint="default"/>
          <w:sz w:val="24"/>
          <w:szCs w:val="24"/>
        </w:rPr>
        <w:t>，</w:t>
      </w:r>
      <w:r>
        <w:rPr>
          <w:sz w:val="24"/>
          <w:szCs w:val="24"/>
        </w:rPr>
        <w:t>第</w:t>
      </w:r>
      <w:r>
        <w:rPr>
          <w:rFonts w:hint="default"/>
          <w:sz w:val="24"/>
          <w:szCs w:val="24"/>
        </w:rPr>
        <w:t>29頁。</w:t>
      </w:r>
    </w:p>
  </w:endnote>
  <w:endnote w:id="24">
    <w:p w14:paraId="3C5AADD6">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顧芮西：《隨州有銘青銅器集注及相關問題研究》，碩士學位論文，華東師範大學中國語言文學系，</w:t>
      </w:r>
      <w:r>
        <w:rPr>
          <w:rFonts w:hint="default"/>
          <w:sz w:val="24"/>
          <w:szCs w:val="24"/>
        </w:rPr>
        <w:t>2023年，</w:t>
      </w:r>
      <w:r>
        <w:rPr>
          <w:sz w:val="24"/>
          <w:szCs w:val="24"/>
        </w:rPr>
        <w:t>第</w:t>
      </w:r>
      <w:r>
        <w:rPr>
          <w:rFonts w:hint="default"/>
          <w:sz w:val="24"/>
          <w:szCs w:val="24"/>
        </w:rPr>
        <w:t>120頁。</w:t>
      </w:r>
    </w:p>
  </w:endnote>
  <w:endnote w:id="25">
    <w:p w14:paraId="5012A25B">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中國社會科學院考古研究所編：《殷周金文集成釋文</w:t>
      </w:r>
      <w:r>
        <w:rPr>
          <w:rFonts w:hint="default"/>
          <w:sz w:val="24"/>
          <w:szCs w:val="24"/>
        </w:rPr>
        <w:t>·第4卷</w:t>
      </w:r>
      <w:r>
        <w:rPr>
          <w:sz w:val="24"/>
          <w:szCs w:val="24"/>
        </w:rPr>
        <w:t>》，香港：香港中文大學出版社，</w:t>
      </w:r>
      <w:r>
        <w:rPr>
          <w:rFonts w:hint="default"/>
          <w:sz w:val="24"/>
          <w:szCs w:val="24"/>
        </w:rPr>
        <w:t>2001年，</w:t>
      </w:r>
      <w:r>
        <w:rPr>
          <w:sz w:val="24"/>
          <w:szCs w:val="24"/>
        </w:rPr>
        <w:t>第</w:t>
      </w:r>
      <w:r>
        <w:rPr>
          <w:rFonts w:hint="default"/>
          <w:sz w:val="24"/>
          <w:szCs w:val="24"/>
        </w:rPr>
        <w:t>265頁。</w:t>
      </w:r>
    </w:p>
  </w:endnote>
  <w:endnote w:id="26">
    <w:p w14:paraId="6B7400E9">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黃錦前：《説“䌛功”》，《文物春秋》，</w:t>
      </w:r>
      <w:r>
        <w:rPr>
          <w:rFonts w:hint="default"/>
          <w:sz w:val="24"/>
          <w:szCs w:val="24"/>
        </w:rPr>
        <w:t>2019年第5期，第21-25頁。</w:t>
      </w:r>
    </w:p>
  </w:endnote>
  <w:endnote w:id="27">
    <w:p w14:paraId="4AEB4ADE">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陳偉主編：《里耶秦簡牘校釋</w:t>
      </w:r>
      <w:r>
        <w:rPr>
          <w:rFonts w:hint="default"/>
          <w:sz w:val="24"/>
          <w:szCs w:val="24"/>
        </w:rPr>
        <w:t xml:space="preserve"> 第2卷</w:t>
      </w:r>
      <w:r>
        <w:rPr>
          <w:sz w:val="24"/>
          <w:szCs w:val="24"/>
        </w:rPr>
        <w:t>》，武漢：武漢大學出版社，</w:t>
      </w:r>
      <w:r>
        <w:rPr>
          <w:rFonts w:hint="default"/>
          <w:sz w:val="24"/>
          <w:szCs w:val="24"/>
        </w:rPr>
        <w:t>2018年，第221頁</w:t>
      </w:r>
      <w:r>
        <w:rPr>
          <w:rFonts w:hint="eastAsia"/>
          <w:sz w:val="24"/>
          <w:szCs w:val="24"/>
          <w:lang w:eastAsia="zh-CN"/>
        </w:rPr>
        <w:t>，</w:t>
      </w:r>
      <w:r>
        <w:rPr>
          <w:rFonts w:hint="default"/>
          <w:sz w:val="24"/>
          <w:szCs w:val="24"/>
        </w:rPr>
        <w:t>第250頁。</w:t>
      </w:r>
    </w:p>
  </w:endnote>
  <w:endnote w:id="28">
    <w:p w14:paraId="653D5DD3">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張德芳主編，孫占宇著：《天水放馬灘秦簡集釋》，蘭州：甘肅文化出版社，</w:t>
      </w:r>
      <w:r>
        <w:rPr>
          <w:rFonts w:hint="eastAsia"/>
          <w:sz w:val="24"/>
          <w:szCs w:val="24"/>
          <w:lang w:val="en-US" w:eastAsia="zh-CN"/>
        </w:rPr>
        <w:t>2013年，</w:t>
      </w:r>
      <w:r>
        <w:rPr>
          <w:sz w:val="24"/>
          <w:szCs w:val="24"/>
        </w:rPr>
        <w:t>第</w:t>
      </w:r>
      <w:r>
        <w:rPr>
          <w:rFonts w:hint="default"/>
          <w:sz w:val="24"/>
          <w:szCs w:val="24"/>
        </w:rPr>
        <w:t>106頁。</w:t>
      </w:r>
    </w:p>
  </w:endnote>
  <w:endnote w:id="29">
    <w:p w14:paraId="58BEFEAC">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w:t>
      </w:r>
      <w:r>
        <w:rPr>
          <w:rFonts w:hint="eastAsia"/>
          <w:sz w:val="24"/>
          <w:szCs w:val="24"/>
          <w:lang w:val="en-US" w:eastAsia="zh-CN"/>
        </w:rPr>
        <w:t>，</w:t>
      </w:r>
      <w:r>
        <w:rPr>
          <w:sz w:val="24"/>
          <w:szCs w:val="24"/>
        </w:rPr>
        <w:t>第</w:t>
      </w:r>
      <w:r>
        <w:rPr>
          <w:rFonts w:hint="default"/>
          <w:sz w:val="24"/>
          <w:szCs w:val="24"/>
        </w:rPr>
        <w:t>141頁。</w:t>
      </w:r>
    </w:p>
  </w:endnote>
  <w:endnote w:id="30">
    <w:p w14:paraId="4AF77004">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w:t>
      </w:r>
      <w:r>
        <w:rPr>
          <w:rFonts w:hint="eastAsia"/>
          <w:sz w:val="24"/>
          <w:szCs w:val="24"/>
          <w:lang w:val="en-US" w:eastAsia="zh-CN"/>
        </w:rPr>
        <w:t>，</w:t>
      </w:r>
      <w:r>
        <w:rPr>
          <w:sz w:val="24"/>
          <w:szCs w:val="24"/>
        </w:rPr>
        <w:t>第</w:t>
      </w:r>
      <w:r>
        <w:rPr>
          <w:rFonts w:hint="default"/>
          <w:sz w:val="24"/>
          <w:szCs w:val="24"/>
        </w:rPr>
        <w:t>145頁。</w:t>
      </w:r>
    </w:p>
  </w:endnote>
  <w:endnote w:id="31">
    <w:p w14:paraId="4B706186">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w:t>
      </w:r>
      <w:r>
        <w:rPr>
          <w:rFonts w:hint="eastAsia"/>
          <w:sz w:val="24"/>
          <w:szCs w:val="24"/>
          <w:lang w:val="en-US" w:eastAsia="zh-CN"/>
        </w:rPr>
        <w:t>，</w:t>
      </w:r>
      <w:r>
        <w:rPr>
          <w:sz w:val="24"/>
          <w:szCs w:val="24"/>
        </w:rPr>
        <w:t>第</w:t>
      </w:r>
      <w:r>
        <w:rPr>
          <w:rFonts w:hint="default"/>
          <w:sz w:val="24"/>
          <w:szCs w:val="24"/>
        </w:rPr>
        <w:t>156頁。</w:t>
      </w:r>
    </w:p>
  </w:endnote>
  <w:endnote w:id="32">
    <w:p w14:paraId="1FCAB292">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張德芳主編，孫占宇著：《天水放馬灘秦簡集釋》，第</w:t>
      </w:r>
      <w:r>
        <w:rPr>
          <w:rFonts w:hint="default"/>
          <w:sz w:val="24"/>
          <w:szCs w:val="24"/>
        </w:rPr>
        <w:t>156頁。</w:t>
      </w:r>
    </w:p>
  </w:endnote>
  <w:endnote w:id="33">
    <w:p w14:paraId="0FB4F80E">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張德芳主編，孫占宇著：《天水放馬灘秦簡集釋》，第</w:t>
      </w:r>
      <w:r>
        <w:rPr>
          <w:rFonts w:hint="default"/>
          <w:sz w:val="24"/>
          <w:szCs w:val="24"/>
        </w:rPr>
        <w:t>159頁。</w:t>
      </w:r>
    </w:p>
  </w:endnote>
  <w:endnote w:id="34">
    <w:p w14:paraId="36C7BCDE">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張德芳主編，孫占宇著：《天水放馬灘秦簡集釋》，第</w:t>
      </w:r>
      <w:r>
        <w:rPr>
          <w:rFonts w:hint="default"/>
          <w:sz w:val="24"/>
          <w:szCs w:val="24"/>
        </w:rPr>
        <w:t>168頁。</w:t>
      </w:r>
    </w:p>
  </w:endnote>
  <w:endnote w:id="35">
    <w:p w14:paraId="1DF331A5">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張德芳主編，孫占宇著：《天水放馬灘秦簡集釋》，第</w:t>
      </w:r>
      <w:r>
        <w:rPr>
          <w:rFonts w:hint="default"/>
          <w:sz w:val="24"/>
          <w:szCs w:val="24"/>
        </w:rPr>
        <w:t>173頁。</w:t>
      </w:r>
    </w:p>
  </w:endnote>
  <w:endnote w:id="36">
    <w:p w14:paraId="3A97772D">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湖南省文物考古研究所：《里耶秦簡（壹）》，北京：文物出版社，</w:t>
      </w:r>
      <w:r>
        <w:rPr>
          <w:rFonts w:hint="default"/>
          <w:sz w:val="24"/>
          <w:szCs w:val="24"/>
        </w:rPr>
        <w:t>2012年，</w:t>
      </w:r>
      <w:r>
        <w:rPr>
          <w:sz w:val="24"/>
          <w:szCs w:val="24"/>
        </w:rPr>
        <w:t>第</w:t>
      </w:r>
      <w:r>
        <w:rPr>
          <w:rFonts w:hint="default"/>
          <w:sz w:val="24"/>
          <w:szCs w:val="24"/>
        </w:rPr>
        <w:t>8頁。</w:t>
      </w:r>
    </w:p>
  </w:endnote>
  <w:endnote w:id="37">
    <w:p w14:paraId="5E258745">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湖南省文物考古研究所：《里耶秦簡（壹）》</w:t>
      </w:r>
      <w:r>
        <w:rPr>
          <w:rFonts w:hint="default"/>
          <w:sz w:val="24"/>
          <w:szCs w:val="24"/>
        </w:rPr>
        <w:t>，</w:t>
      </w:r>
      <w:r>
        <w:rPr>
          <w:sz w:val="24"/>
          <w:szCs w:val="24"/>
        </w:rPr>
        <w:t>第</w:t>
      </w:r>
      <w:r>
        <w:rPr>
          <w:rFonts w:hint="default"/>
          <w:sz w:val="24"/>
          <w:szCs w:val="24"/>
        </w:rPr>
        <w:t>76頁。</w:t>
      </w:r>
    </w:p>
  </w:endnote>
  <w:endnote w:id="38">
    <w:p w14:paraId="4FC8E3D2">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rFonts w:hint="eastAsia"/>
          <w:sz w:val="24"/>
          <w:szCs w:val="24"/>
        </w:rPr>
        <w:t>蕭旭：《北大秦簡校補》，復旦大學出土文獻與古文字研究中心網站 2024年3月15日</w:t>
      </w:r>
      <w:r>
        <w:rPr>
          <w:rFonts w:hint="default"/>
          <w:sz w:val="24"/>
          <w:szCs w:val="24"/>
        </w:rPr>
        <w:t>，</w:t>
      </w:r>
      <w:r>
        <w:rPr>
          <w:rFonts w:hint="eastAsia"/>
          <w:sz w:val="24"/>
          <w:szCs w:val="24"/>
        </w:rPr>
        <w:t>http://www.fdgwz.org.cn/Web/Show/11128#_edn26。</w:t>
      </w:r>
    </w:p>
  </w:endnote>
  <w:endnote w:id="39">
    <w:p w14:paraId="3DDAC1F5">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（周）左丘明傳（晉）杜預注（唐）孔穎達疏：《春秋左傳正義》，北京：北京大學出版社，</w:t>
      </w:r>
      <w:r>
        <w:rPr>
          <w:rFonts w:hint="default"/>
          <w:sz w:val="24"/>
          <w:szCs w:val="24"/>
        </w:rPr>
        <w:t>2000年，</w:t>
      </w:r>
      <w:r>
        <w:rPr>
          <w:sz w:val="24"/>
          <w:szCs w:val="24"/>
        </w:rPr>
        <w:t>第</w:t>
      </w:r>
      <w:r>
        <w:rPr>
          <w:rFonts w:hint="default"/>
          <w:sz w:val="24"/>
          <w:szCs w:val="24"/>
        </w:rPr>
        <w:t>662頁。</w:t>
      </w:r>
    </w:p>
  </w:endnote>
  <w:endnote w:id="40">
    <w:p w14:paraId="1B82F661">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北京大學出土文獻與古代文明研究所編：《北京大學藏秦簡牘</w:t>
      </w:r>
      <w:r>
        <w:rPr>
          <w:rFonts w:hint="default"/>
          <w:sz w:val="24"/>
          <w:szCs w:val="24"/>
        </w:rPr>
        <w:t>·壹</w:t>
      </w:r>
      <w:r>
        <w:rPr>
          <w:sz w:val="24"/>
          <w:szCs w:val="24"/>
        </w:rPr>
        <w:t>》，上海：上海古籍出版社，</w:t>
      </w:r>
      <w:r>
        <w:rPr>
          <w:rFonts w:hint="default"/>
          <w:sz w:val="24"/>
          <w:szCs w:val="24"/>
        </w:rPr>
        <w:t>2023年，第751頁。</w:t>
      </w:r>
    </w:p>
  </w:endnote>
  <w:endnote w:id="41">
    <w:p w14:paraId="38C11228">
      <w:pPr>
        <w:pStyle w:val="13"/>
        <w:keepNext w:val="0"/>
        <w:keepLines w:val="0"/>
        <w:pageBreakBefore w:val="0"/>
        <w:widowControl w:val="0"/>
        <w:kinsoku/>
        <w:wordWrap w:val="0"/>
        <w:overflowPunct/>
        <w:topLinePunct w:val="0"/>
        <w:bidi w:val="0"/>
        <w:adjustRightInd/>
        <w:snapToGrid w:val="0"/>
        <w:textAlignment w:val="center"/>
        <w:rPr>
          <w:sz w:val="24"/>
          <w:szCs w:val="24"/>
        </w:rPr>
      </w:pPr>
      <w:r>
        <w:rPr>
          <w:rStyle w:val="26"/>
          <w:sz w:val="24"/>
          <w:szCs w:val="24"/>
        </w:rPr>
        <w:endnoteRef/>
      </w:r>
      <w:r>
        <w:rPr>
          <w:sz w:val="24"/>
          <w:szCs w:val="24"/>
        </w:rPr>
        <w:t xml:space="preserve"> </w:t>
      </w:r>
      <w:r>
        <w:rPr>
          <w:rFonts w:hint="eastAsia"/>
          <w:sz w:val="24"/>
          <w:szCs w:val="24"/>
        </w:rPr>
        <w:t>在上文《左傳·文公十八年》“事以度功”一句中，“功”與“食民”相關，應指官員功績，“事以度功”則指考量功績應依據“事”，此句是莒紀公被弑後季文子派遣太史克對魯宣公回話提出的,來討論臣子與國君關係以及臣子的職責。</w:t>
      </w:r>
      <w:r>
        <w:rPr>
          <w:rFonts w:hint="eastAsia"/>
          <w:sz w:val="24"/>
          <w:szCs w:val="24"/>
          <w:lang w:val="en-US" w:eastAsia="zh-CN"/>
        </w:rPr>
        <w:t>此句與“和功度事”一句有相似的結構，但是其句意應完全不同。在原句中，“事”上與官員個人德行相關，“功”下與治理民眾聯繫，“事”是“功”的判斷依據和標準，這是符合邏輯關係的。但是在“和功度事”一句中，“功”與“事”的關係應是並列關係或“功”是“事”的判斷依據和標準，這種關係與前者不符，因此兩句雖然結構相似，但是並不能進行簡單的聯繫與類比。</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方正超大字符集">
    <w:panose1 w:val="03000509000000000000"/>
    <w:charset w:val="86"/>
    <w:family w:val="auto"/>
    <w:pitch w:val="default"/>
    <w:sig w:usb0="00000001" w:usb1="080E0000" w:usb2="00000000" w:usb3="00000000" w:csb0="00040000" w:csb1="00000000"/>
  </w:font>
  <w:font w:name="中华书局宋体15平面">
    <w:panose1 w:val="03000509000000000000"/>
    <w:charset w:val="86"/>
    <w:family w:val="auto"/>
    <w:pitch w:val="default"/>
    <w:sig w:usb0="10002003" w:usb1="AB1E0800" w:usb2="000A004E" w:usb3="00000000" w:csb0="003C0041" w:csb1="A00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DFKai-SB">
    <w:panose1 w:val="03000509000000000000"/>
    <w:charset w:val="88"/>
    <w:family w:val="script"/>
    <w:pitch w:val="default"/>
    <w:sig w:usb0="00000003" w:usb1="082E0000" w:usb2="00000016" w:usb3="00000000" w:csb0="00100001" w:csb1="00000000"/>
  </w:font>
  <w:font w:name="TimesNewRomanPS-BoldMT">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New Gulim">
    <w:altName w:val="Cambria"/>
    <w:panose1 w:val="00000000000000000000"/>
    <w:charset w:val="00"/>
    <w:family w:val="roman"/>
    <w:pitch w:val="default"/>
    <w:sig w:usb0="00000000" w:usb1="00000000" w:usb2="00000000" w:usb3="00000000" w:csb0="00000000" w:csb1="00000000"/>
  </w:font>
  <w:font w:name="Mangal">
    <w:altName w:val="AYJGW(乔老师甲骨字替换)"/>
    <w:panose1 w:val="00000400000000000000"/>
    <w:charset w:val="00"/>
    <w:family w:val="roman"/>
    <w:pitch w:val="default"/>
    <w:sig w:usb0="00000000" w:usb1="00000000" w:usb2="00000000" w:usb3="00000000" w:csb0="00000001" w:csb1="00000000"/>
  </w:font>
  <w:font w:name="AYJGW(乔老师甲骨字替换)">
    <w:panose1 w:val="02000500000000000000"/>
    <w:charset w:val="00"/>
    <w:family w:val="auto"/>
    <w:pitch w:val="default"/>
    <w:sig w:usb0="80000023" w:usb1="5000004A" w:usb2="00000000" w:usb3="00000000" w:csb0="2000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经典繁超宋">
    <w:altName w:val="宋体"/>
    <w:panose1 w:val="00000000000000000000"/>
    <w:charset w:val="86"/>
    <w:family w:val="roman"/>
    <w:pitch w:val="default"/>
    <w:sig w:usb0="00000000" w:usb1="00000000" w:usb2="00000000" w:usb3="00000000" w:csb0="00000000" w:csb1="00000000"/>
  </w:font>
  <w:font w:name="控呇湮佽恅苤蚼">
    <w:panose1 w:val="02010609000101010101"/>
    <w:charset w:val="88"/>
    <w:family w:val="modern"/>
    <w:pitch w:val="default"/>
    <w:sig w:usb0="00000000" w:usb1="00000000" w:usb2="00000000" w:usb3="00000000" w:csb0="00000000" w:csb1="00000000"/>
  </w:font>
  <w:font w:name="KaiXinSong">
    <w:panose1 w:val="02010609060101010101"/>
    <w:charset w:val="00"/>
    <w:family w:val="modern"/>
    <w:pitch w:val="default"/>
    <w:sig w:usb0="800002BF" w:usb1="3AC97CFA" w:usb2="04000016" w:usb3="00000000" w:csb0="4000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8810">
    <w:pPr>
      <w:tabs>
        <w:tab w:val="center" w:pos="4153"/>
        <w:tab w:val="right" w:pos="8306"/>
      </w:tabs>
      <w:rPr>
        <w:rFonts w:hint="eastAsia"/>
        <w:sz w:val="18"/>
        <w:szCs w:val="18"/>
      </w:rPr>
    </w:pPr>
    <w:r>
      <w:rPr>
        <w:rFonts w:hint="eastAsia"/>
        <w:sz w:val="18"/>
        <w:szCs w:val="18"/>
      </w:rPr>
      <w:t>收稿日期：</w:t>
    </w:r>
    <w:r>
      <w:rPr>
        <w:sz w:val="18"/>
        <w:szCs w:val="18"/>
      </w:rPr>
      <w:t>202</w:t>
    </w:r>
    <w:r>
      <w:rPr>
        <w:rFonts w:hint="eastAsia"/>
        <w:sz w:val="18"/>
        <w:szCs w:val="18"/>
        <w:lang w:val="en-US" w:eastAsia="zh-CN"/>
      </w:rPr>
      <w:t>5</w:t>
    </w:r>
    <w:r>
      <w:rPr>
        <w:rFonts w:hint="eastAsia"/>
        <w:sz w:val="18"/>
        <w:szCs w:val="18"/>
      </w:rPr>
      <w:t>年11月1</w:t>
    </w:r>
    <w:r>
      <w:rPr>
        <w:rFonts w:hint="eastAsia"/>
        <w:sz w:val="18"/>
        <w:szCs w:val="18"/>
        <w:lang w:val="en-US" w:eastAsia="zh-CN"/>
      </w:rPr>
      <w:t>0</w:t>
    </w:r>
    <w:r>
      <w:rPr>
        <w:rFonts w:hint="eastAsia"/>
        <w:sz w:val="18"/>
        <w:szCs w:val="18"/>
      </w:rPr>
      <w:t>日</w:t>
    </w:r>
    <w:r>
      <w:rPr>
        <w:sz w:val="18"/>
        <w:szCs w:val="18"/>
      </w:rPr>
      <w:tab/>
    </w:r>
    <w:r>
      <w:rPr>
        <w:rFonts w:hint="eastAsia"/>
        <w:sz w:val="18"/>
        <w:szCs w:val="18"/>
      </w:rPr>
      <w:t>发布日期：</w:t>
    </w:r>
    <w:r>
      <w:rPr>
        <w:sz w:val="18"/>
        <w:szCs w:val="18"/>
      </w:rPr>
      <w:t>202</w:t>
    </w:r>
    <w:r>
      <w:rPr>
        <w:rFonts w:hint="eastAsia"/>
        <w:sz w:val="18"/>
        <w:szCs w:val="18"/>
        <w:lang w:val="en-US" w:eastAsia="zh-CN"/>
      </w:rPr>
      <w:t>5</w:t>
    </w:r>
    <w:r>
      <w:rPr>
        <w:rFonts w:hint="eastAsia"/>
        <w:sz w:val="18"/>
        <w:szCs w:val="18"/>
      </w:rPr>
      <w:t>年11月11日</w:t>
    </w:r>
    <w:r>
      <w:rPr>
        <w:sz w:val="18"/>
        <w:szCs w:val="18"/>
      </w:rPr>
      <w:tab/>
    </w:r>
    <w:r>
      <w:rPr>
        <w:rFonts w:hint="eastAsia"/>
        <w:sz w:val="18"/>
        <w:szCs w:val="18"/>
      </w:rPr>
      <w:t>页码：</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8</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C404">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23A2AF5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49C5">
    <w:pPr>
      <w:pStyle w:val="16"/>
      <w:spacing w:before="240" w:after="240"/>
      <w:ind w:firstLine="436"/>
      <w:rPr>
        <w:rFonts w:hint="eastAsia"/>
      </w:rPr>
    </w:pPr>
    <w:r>
      <w:rPr>
        <w:rFonts w:hint="eastAsia"/>
      </w:rPr>
      <w:t>复旦大学出土文献与古文字研究中心网站论文</w:t>
    </w:r>
  </w:p>
  <w:p w14:paraId="6F840705">
    <w:pPr>
      <w:pStyle w:val="16"/>
      <w:spacing w:before="240" w:after="240"/>
      <w:ind w:firstLine="436"/>
      <w:rPr>
        <w:rFonts w:hint="default"/>
        <w:lang w:val="en-US"/>
      </w:rPr>
    </w:pPr>
    <w:r>
      <w:rPr>
        <w:rFonts w:hint="eastAsia"/>
      </w:rPr>
      <w:t>链接：</w:t>
    </w:r>
    <w:r>
      <w:t>http://www.fdgwz.org.cn/Web/Show/11</w:t>
    </w:r>
    <w:r>
      <w:rPr>
        <w:rFonts w:hint="eastAsia"/>
        <w:lang w:val="en-US" w:eastAsia="zh-CN"/>
      </w:rPr>
      <w:t>318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97FB6"/>
    <w:multiLevelType w:val="singleLevel"/>
    <w:tmpl w:val="34697FB6"/>
    <w:lvl w:ilvl="0" w:tentative="0">
      <w:start w:val="1"/>
      <w:numFmt w:val="decimal"/>
      <w:suff w:val="nothing"/>
      <w:lvlText w:val="（%1）"/>
      <w:lvlJc w:val="left"/>
    </w:lvl>
  </w:abstractNum>
  <w:abstractNum w:abstractNumId="1">
    <w:nsid w:val="4DDD61B6"/>
    <w:multiLevelType w:val="multilevel"/>
    <w:tmpl w:val="4DDD61B6"/>
    <w:lvl w:ilvl="0" w:tentative="0">
      <w:start w:val="1"/>
      <w:numFmt w:val="decimal"/>
      <w:pStyle w:val="13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6CF284AF"/>
    <w:multiLevelType w:val="singleLevel"/>
    <w:tmpl w:val="6CF284A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 w:id="84"/>
    <w:endnote w:id="85"/>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24"/>
    <w:rsid w:val="00003788"/>
    <w:rsid w:val="000038DD"/>
    <w:rsid w:val="000069D0"/>
    <w:rsid w:val="00006D1D"/>
    <w:rsid w:val="00011970"/>
    <w:rsid w:val="00012491"/>
    <w:rsid w:val="000133A5"/>
    <w:rsid w:val="00016495"/>
    <w:rsid w:val="0001730A"/>
    <w:rsid w:val="00017F20"/>
    <w:rsid w:val="00021234"/>
    <w:rsid w:val="00022497"/>
    <w:rsid w:val="000269A2"/>
    <w:rsid w:val="00031027"/>
    <w:rsid w:val="00032E60"/>
    <w:rsid w:val="00033997"/>
    <w:rsid w:val="00033F9D"/>
    <w:rsid w:val="00035922"/>
    <w:rsid w:val="00037D45"/>
    <w:rsid w:val="00041E3D"/>
    <w:rsid w:val="00043973"/>
    <w:rsid w:val="0004553B"/>
    <w:rsid w:val="00050E7C"/>
    <w:rsid w:val="00051CC3"/>
    <w:rsid w:val="00057141"/>
    <w:rsid w:val="0006047C"/>
    <w:rsid w:val="000626A6"/>
    <w:rsid w:val="00062FE9"/>
    <w:rsid w:val="00066107"/>
    <w:rsid w:val="0006648C"/>
    <w:rsid w:val="00073508"/>
    <w:rsid w:val="00076F82"/>
    <w:rsid w:val="00077C36"/>
    <w:rsid w:val="00084150"/>
    <w:rsid w:val="0008479B"/>
    <w:rsid w:val="000860FF"/>
    <w:rsid w:val="00093C88"/>
    <w:rsid w:val="0009527F"/>
    <w:rsid w:val="000A4A8F"/>
    <w:rsid w:val="000B02C6"/>
    <w:rsid w:val="000B20F1"/>
    <w:rsid w:val="000B3534"/>
    <w:rsid w:val="000B3957"/>
    <w:rsid w:val="000B3E82"/>
    <w:rsid w:val="000B4C47"/>
    <w:rsid w:val="000B7803"/>
    <w:rsid w:val="000C306D"/>
    <w:rsid w:val="000C439A"/>
    <w:rsid w:val="000C6DDF"/>
    <w:rsid w:val="000D0719"/>
    <w:rsid w:val="000D135F"/>
    <w:rsid w:val="000D13F8"/>
    <w:rsid w:val="000D5531"/>
    <w:rsid w:val="000D6B61"/>
    <w:rsid w:val="000E2C1A"/>
    <w:rsid w:val="000E2C87"/>
    <w:rsid w:val="000E3AF3"/>
    <w:rsid w:val="000E4237"/>
    <w:rsid w:val="000E738A"/>
    <w:rsid w:val="000E7C8B"/>
    <w:rsid w:val="000F0036"/>
    <w:rsid w:val="000F28A8"/>
    <w:rsid w:val="000F4BED"/>
    <w:rsid w:val="000F5549"/>
    <w:rsid w:val="00102E1C"/>
    <w:rsid w:val="00104E73"/>
    <w:rsid w:val="00110B5F"/>
    <w:rsid w:val="00116C85"/>
    <w:rsid w:val="0012030A"/>
    <w:rsid w:val="00131D4E"/>
    <w:rsid w:val="001332B7"/>
    <w:rsid w:val="001347BB"/>
    <w:rsid w:val="00140894"/>
    <w:rsid w:val="001433AC"/>
    <w:rsid w:val="0014382E"/>
    <w:rsid w:val="001450B7"/>
    <w:rsid w:val="001500E3"/>
    <w:rsid w:val="00154CEE"/>
    <w:rsid w:val="00156D70"/>
    <w:rsid w:val="001641C2"/>
    <w:rsid w:val="00164C7B"/>
    <w:rsid w:val="00167A77"/>
    <w:rsid w:val="00167A7A"/>
    <w:rsid w:val="00170566"/>
    <w:rsid w:val="001712CA"/>
    <w:rsid w:val="00172F5D"/>
    <w:rsid w:val="001801DC"/>
    <w:rsid w:val="0018778C"/>
    <w:rsid w:val="001938D1"/>
    <w:rsid w:val="00194437"/>
    <w:rsid w:val="00194702"/>
    <w:rsid w:val="001957D4"/>
    <w:rsid w:val="00195BA5"/>
    <w:rsid w:val="00196304"/>
    <w:rsid w:val="0019751F"/>
    <w:rsid w:val="001A02A8"/>
    <w:rsid w:val="001A19B2"/>
    <w:rsid w:val="001A4915"/>
    <w:rsid w:val="001A5188"/>
    <w:rsid w:val="001B293E"/>
    <w:rsid w:val="001B3C4F"/>
    <w:rsid w:val="001B3E07"/>
    <w:rsid w:val="001B4395"/>
    <w:rsid w:val="001B492F"/>
    <w:rsid w:val="001B4FFD"/>
    <w:rsid w:val="001B682E"/>
    <w:rsid w:val="001B710F"/>
    <w:rsid w:val="001C0EEC"/>
    <w:rsid w:val="001C5F88"/>
    <w:rsid w:val="001D1713"/>
    <w:rsid w:val="001D2B45"/>
    <w:rsid w:val="001D427D"/>
    <w:rsid w:val="001D4E56"/>
    <w:rsid w:val="001E23A9"/>
    <w:rsid w:val="001E6598"/>
    <w:rsid w:val="001E6D43"/>
    <w:rsid w:val="001F1BFC"/>
    <w:rsid w:val="001F6F0F"/>
    <w:rsid w:val="00201B96"/>
    <w:rsid w:val="00211416"/>
    <w:rsid w:val="00214B92"/>
    <w:rsid w:val="00216AB7"/>
    <w:rsid w:val="002211DE"/>
    <w:rsid w:val="002262DD"/>
    <w:rsid w:val="00230ADF"/>
    <w:rsid w:val="00231125"/>
    <w:rsid w:val="002346A0"/>
    <w:rsid w:val="00237037"/>
    <w:rsid w:val="002372F1"/>
    <w:rsid w:val="00240D78"/>
    <w:rsid w:val="00240EAB"/>
    <w:rsid w:val="00243FD0"/>
    <w:rsid w:val="0024748E"/>
    <w:rsid w:val="0025043C"/>
    <w:rsid w:val="00253015"/>
    <w:rsid w:val="0025637F"/>
    <w:rsid w:val="00257210"/>
    <w:rsid w:val="0027142D"/>
    <w:rsid w:val="002732E6"/>
    <w:rsid w:val="0027743E"/>
    <w:rsid w:val="002819AA"/>
    <w:rsid w:val="0028213F"/>
    <w:rsid w:val="00283EDC"/>
    <w:rsid w:val="0028564F"/>
    <w:rsid w:val="00291D8E"/>
    <w:rsid w:val="00292887"/>
    <w:rsid w:val="00292EE5"/>
    <w:rsid w:val="00294FD3"/>
    <w:rsid w:val="002963F1"/>
    <w:rsid w:val="0029793E"/>
    <w:rsid w:val="002A0E2F"/>
    <w:rsid w:val="002A1C81"/>
    <w:rsid w:val="002A1D71"/>
    <w:rsid w:val="002A5820"/>
    <w:rsid w:val="002A6194"/>
    <w:rsid w:val="002A746C"/>
    <w:rsid w:val="002B32DA"/>
    <w:rsid w:val="002C4C02"/>
    <w:rsid w:val="002C668C"/>
    <w:rsid w:val="002C70BF"/>
    <w:rsid w:val="002C7445"/>
    <w:rsid w:val="002C7CEA"/>
    <w:rsid w:val="002D039D"/>
    <w:rsid w:val="002D4626"/>
    <w:rsid w:val="002D5CCD"/>
    <w:rsid w:val="002D74D8"/>
    <w:rsid w:val="002E2792"/>
    <w:rsid w:val="002E503F"/>
    <w:rsid w:val="002F1FE6"/>
    <w:rsid w:val="002F2D81"/>
    <w:rsid w:val="00300BB1"/>
    <w:rsid w:val="0030510A"/>
    <w:rsid w:val="00311E98"/>
    <w:rsid w:val="00313A1D"/>
    <w:rsid w:val="0031705D"/>
    <w:rsid w:val="00317DBF"/>
    <w:rsid w:val="00317E80"/>
    <w:rsid w:val="00321472"/>
    <w:rsid w:val="00324A0C"/>
    <w:rsid w:val="003254FE"/>
    <w:rsid w:val="00330794"/>
    <w:rsid w:val="00331ABE"/>
    <w:rsid w:val="00331FBE"/>
    <w:rsid w:val="00332FF4"/>
    <w:rsid w:val="00334313"/>
    <w:rsid w:val="0033589E"/>
    <w:rsid w:val="003367D1"/>
    <w:rsid w:val="00347F61"/>
    <w:rsid w:val="003516DF"/>
    <w:rsid w:val="003519B2"/>
    <w:rsid w:val="003541B9"/>
    <w:rsid w:val="00355808"/>
    <w:rsid w:val="0036013B"/>
    <w:rsid w:val="003637BF"/>
    <w:rsid w:val="003657B7"/>
    <w:rsid w:val="00365AA8"/>
    <w:rsid w:val="00373178"/>
    <w:rsid w:val="00375FA4"/>
    <w:rsid w:val="00376418"/>
    <w:rsid w:val="00377962"/>
    <w:rsid w:val="003804C5"/>
    <w:rsid w:val="00380E0F"/>
    <w:rsid w:val="00382F27"/>
    <w:rsid w:val="00384194"/>
    <w:rsid w:val="00390262"/>
    <w:rsid w:val="003914E2"/>
    <w:rsid w:val="00393C80"/>
    <w:rsid w:val="00394082"/>
    <w:rsid w:val="00395D81"/>
    <w:rsid w:val="003A0D1A"/>
    <w:rsid w:val="003B45B0"/>
    <w:rsid w:val="003B5515"/>
    <w:rsid w:val="003C12E0"/>
    <w:rsid w:val="003C3289"/>
    <w:rsid w:val="003C4800"/>
    <w:rsid w:val="003C4D06"/>
    <w:rsid w:val="003C57BB"/>
    <w:rsid w:val="003C62CD"/>
    <w:rsid w:val="003D46B8"/>
    <w:rsid w:val="003D5DF4"/>
    <w:rsid w:val="003D668A"/>
    <w:rsid w:val="003E1354"/>
    <w:rsid w:val="003E1502"/>
    <w:rsid w:val="003E1E5C"/>
    <w:rsid w:val="003E5FD9"/>
    <w:rsid w:val="003E6BB9"/>
    <w:rsid w:val="003F2D79"/>
    <w:rsid w:val="003F5354"/>
    <w:rsid w:val="003F604F"/>
    <w:rsid w:val="00403C1D"/>
    <w:rsid w:val="0040573D"/>
    <w:rsid w:val="00410652"/>
    <w:rsid w:val="004127DD"/>
    <w:rsid w:val="00420CE9"/>
    <w:rsid w:val="00430178"/>
    <w:rsid w:val="0043067E"/>
    <w:rsid w:val="00430CA7"/>
    <w:rsid w:val="00430F52"/>
    <w:rsid w:val="00431BEA"/>
    <w:rsid w:val="00440BE0"/>
    <w:rsid w:val="0044129F"/>
    <w:rsid w:val="00445B35"/>
    <w:rsid w:val="00454220"/>
    <w:rsid w:val="004555EF"/>
    <w:rsid w:val="00456FAD"/>
    <w:rsid w:val="004628E8"/>
    <w:rsid w:val="00466A1C"/>
    <w:rsid w:val="00471E95"/>
    <w:rsid w:val="004756A5"/>
    <w:rsid w:val="00482C36"/>
    <w:rsid w:val="0048364F"/>
    <w:rsid w:val="004838F8"/>
    <w:rsid w:val="00483CD8"/>
    <w:rsid w:val="004860A2"/>
    <w:rsid w:val="004918C3"/>
    <w:rsid w:val="004975C8"/>
    <w:rsid w:val="004A0388"/>
    <w:rsid w:val="004A1861"/>
    <w:rsid w:val="004A2C87"/>
    <w:rsid w:val="004A73B6"/>
    <w:rsid w:val="004A7E18"/>
    <w:rsid w:val="004B0674"/>
    <w:rsid w:val="004B0D90"/>
    <w:rsid w:val="004B12DE"/>
    <w:rsid w:val="004B405F"/>
    <w:rsid w:val="004B4723"/>
    <w:rsid w:val="004C2990"/>
    <w:rsid w:val="004C4B9F"/>
    <w:rsid w:val="004D1FA3"/>
    <w:rsid w:val="004D4C84"/>
    <w:rsid w:val="004D511D"/>
    <w:rsid w:val="004D57DB"/>
    <w:rsid w:val="004E0A07"/>
    <w:rsid w:val="004E6E8E"/>
    <w:rsid w:val="004F09C9"/>
    <w:rsid w:val="004F11D3"/>
    <w:rsid w:val="004F244C"/>
    <w:rsid w:val="004F4CF4"/>
    <w:rsid w:val="004F62FC"/>
    <w:rsid w:val="00503A9E"/>
    <w:rsid w:val="00503AF8"/>
    <w:rsid w:val="005051B7"/>
    <w:rsid w:val="0051092B"/>
    <w:rsid w:val="00513092"/>
    <w:rsid w:val="0051587D"/>
    <w:rsid w:val="00515C06"/>
    <w:rsid w:val="0051605E"/>
    <w:rsid w:val="005169A1"/>
    <w:rsid w:val="00516D8D"/>
    <w:rsid w:val="00517428"/>
    <w:rsid w:val="00517DAD"/>
    <w:rsid w:val="0052033E"/>
    <w:rsid w:val="005268F5"/>
    <w:rsid w:val="00526AE6"/>
    <w:rsid w:val="005308E6"/>
    <w:rsid w:val="00531EA3"/>
    <w:rsid w:val="0053295D"/>
    <w:rsid w:val="00535BD2"/>
    <w:rsid w:val="0053723F"/>
    <w:rsid w:val="00541E3D"/>
    <w:rsid w:val="00542D51"/>
    <w:rsid w:val="0054391C"/>
    <w:rsid w:val="00543E96"/>
    <w:rsid w:val="005444A2"/>
    <w:rsid w:val="005465C3"/>
    <w:rsid w:val="00546876"/>
    <w:rsid w:val="005536B1"/>
    <w:rsid w:val="005547BF"/>
    <w:rsid w:val="005549F6"/>
    <w:rsid w:val="00560EBB"/>
    <w:rsid w:val="00562694"/>
    <w:rsid w:val="00564069"/>
    <w:rsid w:val="00570DB1"/>
    <w:rsid w:val="00570E9F"/>
    <w:rsid w:val="00571CEA"/>
    <w:rsid w:val="00572EC4"/>
    <w:rsid w:val="005755E3"/>
    <w:rsid w:val="005816FB"/>
    <w:rsid w:val="00584AEE"/>
    <w:rsid w:val="00586B2B"/>
    <w:rsid w:val="005875DF"/>
    <w:rsid w:val="005935F3"/>
    <w:rsid w:val="00593E4B"/>
    <w:rsid w:val="00594347"/>
    <w:rsid w:val="0059627F"/>
    <w:rsid w:val="005A2D63"/>
    <w:rsid w:val="005A3011"/>
    <w:rsid w:val="005A419C"/>
    <w:rsid w:val="005B29BC"/>
    <w:rsid w:val="005B69A6"/>
    <w:rsid w:val="005C1A21"/>
    <w:rsid w:val="005C1F1C"/>
    <w:rsid w:val="005C51B2"/>
    <w:rsid w:val="005D22B2"/>
    <w:rsid w:val="005D2D14"/>
    <w:rsid w:val="005D2F69"/>
    <w:rsid w:val="005E2C50"/>
    <w:rsid w:val="005E45B5"/>
    <w:rsid w:val="005E5DB1"/>
    <w:rsid w:val="005F05E8"/>
    <w:rsid w:val="005F3E33"/>
    <w:rsid w:val="0060101E"/>
    <w:rsid w:val="00602939"/>
    <w:rsid w:val="00610E9E"/>
    <w:rsid w:val="006166C7"/>
    <w:rsid w:val="00617AB7"/>
    <w:rsid w:val="00620A4F"/>
    <w:rsid w:val="00620F72"/>
    <w:rsid w:val="00621D7A"/>
    <w:rsid w:val="0062260A"/>
    <w:rsid w:val="00623408"/>
    <w:rsid w:val="006241F3"/>
    <w:rsid w:val="006245DA"/>
    <w:rsid w:val="0062642B"/>
    <w:rsid w:val="0063183B"/>
    <w:rsid w:val="0063231F"/>
    <w:rsid w:val="00634446"/>
    <w:rsid w:val="00634CBD"/>
    <w:rsid w:val="0063501D"/>
    <w:rsid w:val="00635CF4"/>
    <w:rsid w:val="00635FA4"/>
    <w:rsid w:val="00640B39"/>
    <w:rsid w:val="00644D5B"/>
    <w:rsid w:val="00650E61"/>
    <w:rsid w:val="0065256A"/>
    <w:rsid w:val="006526E4"/>
    <w:rsid w:val="00666D65"/>
    <w:rsid w:val="0066715B"/>
    <w:rsid w:val="00672EC8"/>
    <w:rsid w:val="00673C78"/>
    <w:rsid w:val="006778A0"/>
    <w:rsid w:val="00682D5D"/>
    <w:rsid w:val="00686575"/>
    <w:rsid w:val="00690307"/>
    <w:rsid w:val="006907C4"/>
    <w:rsid w:val="00693A5D"/>
    <w:rsid w:val="006A0C48"/>
    <w:rsid w:val="006A1563"/>
    <w:rsid w:val="006A1B0D"/>
    <w:rsid w:val="006A34B2"/>
    <w:rsid w:val="006A3D5C"/>
    <w:rsid w:val="006A3F90"/>
    <w:rsid w:val="006A5FF2"/>
    <w:rsid w:val="006B0F0D"/>
    <w:rsid w:val="006B1CF9"/>
    <w:rsid w:val="006B47EE"/>
    <w:rsid w:val="006B6EEA"/>
    <w:rsid w:val="006B7475"/>
    <w:rsid w:val="006C41B9"/>
    <w:rsid w:val="006C5096"/>
    <w:rsid w:val="006C6BAA"/>
    <w:rsid w:val="006D3921"/>
    <w:rsid w:val="006D408B"/>
    <w:rsid w:val="006E0E0C"/>
    <w:rsid w:val="006E2F87"/>
    <w:rsid w:val="006E6474"/>
    <w:rsid w:val="006E760F"/>
    <w:rsid w:val="006E7B7B"/>
    <w:rsid w:val="006F28BC"/>
    <w:rsid w:val="006F300C"/>
    <w:rsid w:val="006F52F5"/>
    <w:rsid w:val="006F79DD"/>
    <w:rsid w:val="007002F8"/>
    <w:rsid w:val="007007CC"/>
    <w:rsid w:val="00701226"/>
    <w:rsid w:val="0070713C"/>
    <w:rsid w:val="007103F0"/>
    <w:rsid w:val="00713580"/>
    <w:rsid w:val="007138A4"/>
    <w:rsid w:val="007141FD"/>
    <w:rsid w:val="00715D6B"/>
    <w:rsid w:val="007166DE"/>
    <w:rsid w:val="007204C1"/>
    <w:rsid w:val="00724062"/>
    <w:rsid w:val="00726471"/>
    <w:rsid w:val="007317E0"/>
    <w:rsid w:val="00734046"/>
    <w:rsid w:val="0073487E"/>
    <w:rsid w:val="00740478"/>
    <w:rsid w:val="00740BC5"/>
    <w:rsid w:val="00742DDD"/>
    <w:rsid w:val="007430E0"/>
    <w:rsid w:val="00747A38"/>
    <w:rsid w:val="0075360F"/>
    <w:rsid w:val="007606F5"/>
    <w:rsid w:val="0076174E"/>
    <w:rsid w:val="007708C6"/>
    <w:rsid w:val="00771D41"/>
    <w:rsid w:val="007721C4"/>
    <w:rsid w:val="0077379F"/>
    <w:rsid w:val="00773918"/>
    <w:rsid w:val="00775AF2"/>
    <w:rsid w:val="00781023"/>
    <w:rsid w:val="007810E0"/>
    <w:rsid w:val="007850CB"/>
    <w:rsid w:val="007A7F1F"/>
    <w:rsid w:val="007B0257"/>
    <w:rsid w:val="007B0B09"/>
    <w:rsid w:val="007B0D07"/>
    <w:rsid w:val="007B0E2D"/>
    <w:rsid w:val="007B1A80"/>
    <w:rsid w:val="007B29FD"/>
    <w:rsid w:val="007C00C2"/>
    <w:rsid w:val="007C4028"/>
    <w:rsid w:val="007C6D48"/>
    <w:rsid w:val="007D1AEF"/>
    <w:rsid w:val="007D5FCD"/>
    <w:rsid w:val="007D776B"/>
    <w:rsid w:val="007F45BF"/>
    <w:rsid w:val="0080242C"/>
    <w:rsid w:val="00805018"/>
    <w:rsid w:val="00807BBC"/>
    <w:rsid w:val="008114A2"/>
    <w:rsid w:val="00811640"/>
    <w:rsid w:val="00811B04"/>
    <w:rsid w:val="00813ADC"/>
    <w:rsid w:val="00814362"/>
    <w:rsid w:val="008145F2"/>
    <w:rsid w:val="008216FA"/>
    <w:rsid w:val="00823499"/>
    <w:rsid w:val="00827BEE"/>
    <w:rsid w:val="008316D6"/>
    <w:rsid w:val="00831C58"/>
    <w:rsid w:val="00831E6C"/>
    <w:rsid w:val="0083260A"/>
    <w:rsid w:val="0083342E"/>
    <w:rsid w:val="008368CB"/>
    <w:rsid w:val="00841AC0"/>
    <w:rsid w:val="00841C43"/>
    <w:rsid w:val="00844552"/>
    <w:rsid w:val="0085243E"/>
    <w:rsid w:val="00852FB6"/>
    <w:rsid w:val="00852FD1"/>
    <w:rsid w:val="008554FB"/>
    <w:rsid w:val="00857AC9"/>
    <w:rsid w:val="00865714"/>
    <w:rsid w:val="00866978"/>
    <w:rsid w:val="00866FD9"/>
    <w:rsid w:val="0087434A"/>
    <w:rsid w:val="0088006E"/>
    <w:rsid w:val="008839BB"/>
    <w:rsid w:val="00883E9F"/>
    <w:rsid w:val="00884DD1"/>
    <w:rsid w:val="00886963"/>
    <w:rsid w:val="008875BA"/>
    <w:rsid w:val="00896D6E"/>
    <w:rsid w:val="0089710F"/>
    <w:rsid w:val="008A3266"/>
    <w:rsid w:val="008A7F84"/>
    <w:rsid w:val="008B1838"/>
    <w:rsid w:val="008B201B"/>
    <w:rsid w:val="008B7347"/>
    <w:rsid w:val="008B7DE7"/>
    <w:rsid w:val="008C0398"/>
    <w:rsid w:val="008C1BEA"/>
    <w:rsid w:val="008C4C09"/>
    <w:rsid w:val="008C4EF3"/>
    <w:rsid w:val="008C5A22"/>
    <w:rsid w:val="008C6FD3"/>
    <w:rsid w:val="008C7A92"/>
    <w:rsid w:val="008D30E6"/>
    <w:rsid w:val="008D3A53"/>
    <w:rsid w:val="008D3B25"/>
    <w:rsid w:val="008D40CC"/>
    <w:rsid w:val="008D7BDB"/>
    <w:rsid w:val="008E49CB"/>
    <w:rsid w:val="008E5D6E"/>
    <w:rsid w:val="008E6624"/>
    <w:rsid w:val="008F2F2E"/>
    <w:rsid w:val="008F4C76"/>
    <w:rsid w:val="008F5C80"/>
    <w:rsid w:val="008F65AF"/>
    <w:rsid w:val="00903942"/>
    <w:rsid w:val="00904443"/>
    <w:rsid w:val="00905A67"/>
    <w:rsid w:val="00917582"/>
    <w:rsid w:val="0091798A"/>
    <w:rsid w:val="00920906"/>
    <w:rsid w:val="00920BC8"/>
    <w:rsid w:val="00923D4F"/>
    <w:rsid w:val="009263C8"/>
    <w:rsid w:val="00933EFE"/>
    <w:rsid w:val="0093759B"/>
    <w:rsid w:val="00941801"/>
    <w:rsid w:val="00941B6B"/>
    <w:rsid w:val="009429E7"/>
    <w:rsid w:val="009477D9"/>
    <w:rsid w:val="00950E20"/>
    <w:rsid w:val="00951E3D"/>
    <w:rsid w:val="0095432F"/>
    <w:rsid w:val="009568AB"/>
    <w:rsid w:val="00962238"/>
    <w:rsid w:val="00962DFC"/>
    <w:rsid w:val="00964805"/>
    <w:rsid w:val="00970316"/>
    <w:rsid w:val="00970D12"/>
    <w:rsid w:val="00971027"/>
    <w:rsid w:val="0097125F"/>
    <w:rsid w:val="00977A96"/>
    <w:rsid w:val="00980CC8"/>
    <w:rsid w:val="00982B3A"/>
    <w:rsid w:val="00986333"/>
    <w:rsid w:val="0098705C"/>
    <w:rsid w:val="00987883"/>
    <w:rsid w:val="009911B7"/>
    <w:rsid w:val="00992297"/>
    <w:rsid w:val="00994CD0"/>
    <w:rsid w:val="00995D4E"/>
    <w:rsid w:val="00995DB3"/>
    <w:rsid w:val="009A0FAD"/>
    <w:rsid w:val="009A569F"/>
    <w:rsid w:val="009A6158"/>
    <w:rsid w:val="009A75E4"/>
    <w:rsid w:val="009C4773"/>
    <w:rsid w:val="009C5916"/>
    <w:rsid w:val="009C7D0F"/>
    <w:rsid w:val="009D27AC"/>
    <w:rsid w:val="009E12C0"/>
    <w:rsid w:val="009E1F4B"/>
    <w:rsid w:val="009E50C6"/>
    <w:rsid w:val="009E63D4"/>
    <w:rsid w:val="009F4D40"/>
    <w:rsid w:val="009F5A14"/>
    <w:rsid w:val="00A00A18"/>
    <w:rsid w:val="00A01321"/>
    <w:rsid w:val="00A02166"/>
    <w:rsid w:val="00A026E4"/>
    <w:rsid w:val="00A04D48"/>
    <w:rsid w:val="00A0577E"/>
    <w:rsid w:val="00A06EEC"/>
    <w:rsid w:val="00A072DD"/>
    <w:rsid w:val="00A16D1C"/>
    <w:rsid w:val="00A303C4"/>
    <w:rsid w:val="00A318D8"/>
    <w:rsid w:val="00A33350"/>
    <w:rsid w:val="00A35CE6"/>
    <w:rsid w:val="00A43B2B"/>
    <w:rsid w:val="00A442B6"/>
    <w:rsid w:val="00A4525C"/>
    <w:rsid w:val="00A52734"/>
    <w:rsid w:val="00A553B6"/>
    <w:rsid w:val="00A60907"/>
    <w:rsid w:val="00A60B6E"/>
    <w:rsid w:val="00A626FC"/>
    <w:rsid w:val="00A63856"/>
    <w:rsid w:val="00A64354"/>
    <w:rsid w:val="00A64CC3"/>
    <w:rsid w:val="00A710B2"/>
    <w:rsid w:val="00A71884"/>
    <w:rsid w:val="00A72999"/>
    <w:rsid w:val="00A73FD8"/>
    <w:rsid w:val="00A7444E"/>
    <w:rsid w:val="00A76F1D"/>
    <w:rsid w:val="00A76F5B"/>
    <w:rsid w:val="00A8129E"/>
    <w:rsid w:val="00A84561"/>
    <w:rsid w:val="00A84BF3"/>
    <w:rsid w:val="00A87B29"/>
    <w:rsid w:val="00AA2818"/>
    <w:rsid w:val="00AA4359"/>
    <w:rsid w:val="00AA4F68"/>
    <w:rsid w:val="00AA543B"/>
    <w:rsid w:val="00AA5ACA"/>
    <w:rsid w:val="00AA6604"/>
    <w:rsid w:val="00AA7065"/>
    <w:rsid w:val="00AB2B64"/>
    <w:rsid w:val="00AC25D9"/>
    <w:rsid w:val="00AC4C6A"/>
    <w:rsid w:val="00AD02E2"/>
    <w:rsid w:val="00AD0AB7"/>
    <w:rsid w:val="00AD0F5C"/>
    <w:rsid w:val="00AD2BDD"/>
    <w:rsid w:val="00AD369B"/>
    <w:rsid w:val="00AD48AD"/>
    <w:rsid w:val="00AD5029"/>
    <w:rsid w:val="00AD7B0D"/>
    <w:rsid w:val="00AD7E86"/>
    <w:rsid w:val="00AE20DF"/>
    <w:rsid w:val="00AE29A7"/>
    <w:rsid w:val="00AF246E"/>
    <w:rsid w:val="00AF479D"/>
    <w:rsid w:val="00AF635B"/>
    <w:rsid w:val="00AF75C8"/>
    <w:rsid w:val="00B00EE9"/>
    <w:rsid w:val="00B030E6"/>
    <w:rsid w:val="00B059FD"/>
    <w:rsid w:val="00B07332"/>
    <w:rsid w:val="00B20E51"/>
    <w:rsid w:val="00B23528"/>
    <w:rsid w:val="00B27C68"/>
    <w:rsid w:val="00B313D5"/>
    <w:rsid w:val="00B31DEE"/>
    <w:rsid w:val="00B3372F"/>
    <w:rsid w:val="00B34DD8"/>
    <w:rsid w:val="00B37214"/>
    <w:rsid w:val="00B415AC"/>
    <w:rsid w:val="00B41F47"/>
    <w:rsid w:val="00B43721"/>
    <w:rsid w:val="00B47060"/>
    <w:rsid w:val="00B47693"/>
    <w:rsid w:val="00B50CD0"/>
    <w:rsid w:val="00B61F5C"/>
    <w:rsid w:val="00B63ADF"/>
    <w:rsid w:val="00B7298C"/>
    <w:rsid w:val="00B73A04"/>
    <w:rsid w:val="00B75C45"/>
    <w:rsid w:val="00B806B1"/>
    <w:rsid w:val="00B8095D"/>
    <w:rsid w:val="00B831B3"/>
    <w:rsid w:val="00B8604A"/>
    <w:rsid w:val="00B92CC7"/>
    <w:rsid w:val="00B92CE9"/>
    <w:rsid w:val="00B94097"/>
    <w:rsid w:val="00B94272"/>
    <w:rsid w:val="00BA1F2C"/>
    <w:rsid w:val="00BA2BB2"/>
    <w:rsid w:val="00BA32AD"/>
    <w:rsid w:val="00BA4771"/>
    <w:rsid w:val="00BA4E68"/>
    <w:rsid w:val="00BA5289"/>
    <w:rsid w:val="00BA6421"/>
    <w:rsid w:val="00BA67C7"/>
    <w:rsid w:val="00BB017B"/>
    <w:rsid w:val="00BB6F3D"/>
    <w:rsid w:val="00BC126B"/>
    <w:rsid w:val="00BC49BB"/>
    <w:rsid w:val="00BC7189"/>
    <w:rsid w:val="00BD0F3E"/>
    <w:rsid w:val="00BD4E67"/>
    <w:rsid w:val="00BD750D"/>
    <w:rsid w:val="00BE12D1"/>
    <w:rsid w:val="00BE148F"/>
    <w:rsid w:val="00BE5AA8"/>
    <w:rsid w:val="00BE74C5"/>
    <w:rsid w:val="00BF358E"/>
    <w:rsid w:val="00BF370B"/>
    <w:rsid w:val="00BF5F1D"/>
    <w:rsid w:val="00C00F31"/>
    <w:rsid w:val="00C01C0A"/>
    <w:rsid w:val="00C029DF"/>
    <w:rsid w:val="00C037A6"/>
    <w:rsid w:val="00C03F8A"/>
    <w:rsid w:val="00C200D7"/>
    <w:rsid w:val="00C217A0"/>
    <w:rsid w:val="00C223C3"/>
    <w:rsid w:val="00C24A2E"/>
    <w:rsid w:val="00C25CFC"/>
    <w:rsid w:val="00C30600"/>
    <w:rsid w:val="00C32F13"/>
    <w:rsid w:val="00C36956"/>
    <w:rsid w:val="00C40577"/>
    <w:rsid w:val="00C405CB"/>
    <w:rsid w:val="00C410F4"/>
    <w:rsid w:val="00C41BDD"/>
    <w:rsid w:val="00C43658"/>
    <w:rsid w:val="00C46047"/>
    <w:rsid w:val="00C52B1A"/>
    <w:rsid w:val="00C540E0"/>
    <w:rsid w:val="00C601E8"/>
    <w:rsid w:val="00C63492"/>
    <w:rsid w:val="00C639B5"/>
    <w:rsid w:val="00C673BD"/>
    <w:rsid w:val="00C7337F"/>
    <w:rsid w:val="00C7545C"/>
    <w:rsid w:val="00C75C1A"/>
    <w:rsid w:val="00C86742"/>
    <w:rsid w:val="00C86E98"/>
    <w:rsid w:val="00C90543"/>
    <w:rsid w:val="00C935B4"/>
    <w:rsid w:val="00C9386D"/>
    <w:rsid w:val="00C94789"/>
    <w:rsid w:val="00C9729E"/>
    <w:rsid w:val="00CA455C"/>
    <w:rsid w:val="00CB0024"/>
    <w:rsid w:val="00CB3F3F"/>
    <w:rsid w:val="00CC33AB"/>
    <w:rsid w:val="00CC51D6"/>
    <w:rsid w:val="00CC537A"/>
    <w:rsid w:val="00CC6F6E"/>
    <w:rsid w:val="00CD12D8"/>
    <w:rsid w:val="00CD3AD6"/>
    <w:rsid w:val="00CE1F09"/>
    <w:rsid w:val="00CF2087"/>
    <w:rsid w:val="00CF2835"/>
    <w:rsid w:val="00CF2D53"/>
    <w:rsid w:val="00CF3432"/>
    <w:rsid w:val="00CF55D5"/>
    <w:rsid w:val="00CF5EB2"/>
    <w:rsid w:val="00CF736F"/>
    <w:rsid w:val="00D00583"/>
    <w:rsid w:val="00D12835"/>
    <w:rsid w:val="00D14104"/>
    <w:rsid w:val="00D15896"/>
    <w:rsid w:val="00D202FA"/>
    <w:rsid w:val="00D208AF"/>
    <w:rsid w:val="00D216E9"/>
    <w:rsid w:val="00D24914"/>
    <w:rsid w:val="00D326D7"/>
    <w:rsid w:val="00D33111"/>
    <w:rsid w:val="00D4023B"/>
    <w:rsid w:val="00D40B52"/>
    <w:rsid w:val="00D50E87"/>
    <w:rsid w:val="00D51572"/>
    <w:rsid w:val="00D53655"/>
    <w:rsid w:val="00D54453"/>
    <w:rsid w:val="00D54B65"/>
    <w:rsid w:val="00D556BF"/>
    <w:rsid w:val="00D60710"/>
    <w:rsid w:val="00D61798"/>
    <w:rsid w:val="00D62CB1"/>
    <w:rsid w:val="00D67634"/>
    <w:rsid w:val="00D71F81"/>
    <w:rsid w:val="00D726F9"/>
    <w:rsid w:val="00D756A9"/>
    <w:rsid w:val="00D765DA"/>
    <w:rsid w:val="00D84579"/>
    <w:rsid w:val="00D850D5"/>
    <w:rsid w:val="00D859D5"/>
    <w:rsid w:val="00D85C5E"/>
    <w:rsid w:val="00D91E89"/>
    <w:rsid w:val="00D94761"/>
    <w:rsid w:val="00D94D4A"/>
    <w:rsid w:val="00DA17FB"/>
    <w:rsid w:val="00DA2027"/>
    <w:rsid w:val="00DA469D"/>
    <w:rsid w:val="00DB1A8E"/>
    <w:rsid w:val="00DB2818"/>
    <w:rsid w:val="00DB652D"/>
    <w:rsid w:val="00DB74DD"/>
    <w:rsid w:val="00DC2A33"/>
    <w:rsid w:val="00DC5C27"/>
    <w:rsid w:val="00DC74C5"/>
    <w:rsid w:val="00DD0C90"/>
    <w:rsid w:val="00DD24BF"/>
    <w:rsid w:val="00DD491C"/>
    <w:rsid w:val="00DE03E4"/>
    <w:rsid w:val="00DE20EE"/>
    <w:rsid w:val="00DE2591"/>
    <w:rsid w:val="00DE4754"/>
    <w:rsid w:val="00DE5345"/>
    <w:rsid w:val="00DE5AD0"/>
    <w:rsid w:val="00DE6887"/>
    <w:rsid w:val="00DE6920"/>
    <w:rsid w:val="00DF05E9"/>
    <w:rsid w:val="00DF0F4C"/>
    <w:rsid w:val="00E014C1"/>
    <w:rsid w:val="00E01E6C"/>
    <w:rsid w:val="00E03097"/>
    <w:rsid w:val="00E03B22"/>
    <w:rsid w:val="00E0585D"/>
    <w:rsid w:val="00E06AC8"/>
    <w:rsid w:val="00E0700B"/>
    <w:rsid w:val="00E10BC9"/>
    <w:rsid w:val="00E14E4A"/>
    <w:rsid w:val="00E166E9"/>
    <w:rsid w:val="00E2162E"/>
    <w:rsid w:val="00E23B96"/>
    <w:rsid w:val="00E27BC2"/>
    <w:rsid w:val="00E330F9"/>
    <w:rsid w:val="00E3579F"/>
    <w:rsid w:val="00E37814"/>
    <w:rsid w:val="00E415C5"/>
    <w:rsid w:val="00E42543"/>
    <w:rsid w:val="00E4260F"/>
    <w:rsid w:val="00E46E79"/>
    <w:rsid w:val="00E51572"/>
    <w:rsid w:val="00E520D0"/>
    <w:rsid w:val="00E53B98"/>
    <w:rsid w:val="00E74B97"/>
    <w:rsid w:val="00E74D97"/>
    <w:rsid w:val="00E768A0"/>
    <w:rsid w:val="00E770D4"/>
    <w:rsid w:val="00E8039B"/>
    <w:rsid w:val="00E8091B"/>
    <w:rsid w:val="00E84361"/>
    <w:rsid w:val="00E84A0C"/>
    <w:rsid w:val="00E90438"/>
    <w:rsid w:val="00E91058"/>
    <w:rsid w:val="00E95B02"/>
    <w:rsid w:val="00EA236B"/>
    <w:rsid w:val="00EA3753"/>
    <w:rsid w:val="00EA75F6"/>
    <w:rsid w:val="00EA7776"/>
    <w:rsid w:val="00EA7FBC"/>
    <w:rsid w:val="00EB3041"/>
    <w:rsid w:val="00EB330F"/>
    <w:rsid w:val="00EB7229"/>
    <w:rsid w:val="00EC15D3"/>
    <w:rsid w:val="00EC3366"/>
    <w:rsid w:val="00EC4B8E"/>
    <w:rsid w:val="00EC60F9"/>
    <w:rsid w:val="00EC7693"/>
    <w:rsid w:val="00ED01D0"/>
    <w:rsid w:val="00ED2E6F"/>
    <w:rsid w:val="00ED4220"/>
    <w:rsid w:val="00ED4287"/>
    <w:rsid w:val="00ED7DB3"/>
    <w:rsid w:val="00EE0429"/>
    <w:rsid w:val="00EE0568"/>
    <w:rsid w:val="00EE4142"/>
    <w:rsid w:val="00EE528D"/>
    <w:rsid w:val="00EE6C33"/>
    <w:rsid w:val="00EE6DB8"/>
    <w:rsid w:val="00EF0E85"/>
    <w:rsid w:val="00EF2B6D"/>
    <w:rsid w:val="00EF302F"/>
    <w:rsid w:val="00F001B7"/>
    <w:rsid w:val="00F00938"/>
    <w:rsid w:val="00F02015"/>
    <w:rsid w:val="00F06B67"/>
    <w:rsid w:val="00F10AFC"/>
    <w:rsid w:val="00F232AB"/>
    <w:rsid w:val="00F27D53"/>
    <w:rsid w:val="00F31282"/>
    <w:rsid w:val="00F322A5"/>
    <w:rsid w:val="00F32502"/>
    <w:rsid w:val="00F34E9E"/>
    <w:rsid w:val="00F34EBF"/>
    <w:rsid w:val="00F36F17"/>
    <w:rsid w:val="00F448C4"/>
    <w:rsid w:val="00F459C2"/>
    <w:rsid w:val="00F53292"/>
    <w:rsid w:val="00F5440A"/>
    <w:rsid w:val="00F54627"/>
    <w:rsid w:val="00F5784F"/>
    <w:rsid w:val="00F6326B"/>
    <w:rsid w:val="00F66363"/>
    <w:rsid w:val="00F66FE5"/>
    <w:rsid w:val="00F70568"/>
    <w:rsid w:val="00F73ABB"/>
    <w:rsid w:val="00F74311"/>
    <w:rsid w:val="00F74BDA"/>
    <w:rsid w:val="00F76B2A"/>
    <w:rsid w:val="00F77362"/>
    <w:rsid w:val="00F80228"/>
    <w:rsid w:val="00F803F6"/>
    <w:rsid w:val="00F805FB"/>
    <w:rsid w:val="00F856E5"/>
    <w:rsid w:val="00F96BFC"/>
    <w:rsid w:val="00FA3C18"/>
    <w:rsid w:val="00FA72F5"/>
    <w:rsid w:val="00FB45B2"/>
    <w:rsid w:val="00FB6C12"/>
    <w:rsid w:val="00FC044C"/>
    <w:rsid w:val="00FC0AB0"/>
    <w:rsid w:val="00FC1005"/>
    <w:rsid w:val="00FC4A76"/>
    <w:rsid w:val="00FD3E77"/>
    <w:rsid w:val="00FD71AB"/>
    <w:rsid w:val="00FD7850"/>
    <w:rsid w:val="00FE080D"/>
    <w:rsid w:val="00FE20AC"/>
    <w:rsid w:val="00FF0AE3"/>
    <w:rsid w:val="1BF96F0C"/>
    <w:rsid w:val="2B0C3A3F"/>
    <w:rsid w:val="426F745B"/>
    <w:rsid w:val="451A3F70"/>
    <w:rsid w:val="5D7874FB"/>
    <w:rsid w:val="60885CA7"/>
    <w:rsid w:val="79144124"/>
    <w:rsid w:val="7B7F61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35"/>
    <w:semiHidden/>
    <w:unhideWhenUsed/>
    <w:qFormat/>
    <w:uiPriority w:val="9"/>
    <w:pPr>
      <w:keepNext/>
      <w:keepLines/>
      <w:widowControl/>
      <w:spacing w:before="280" w:after="290" w:line="376" w:lineRule="auto"/>
      <w:jc w:val="left"/>
      <w:outlineLvl w:val="3"/>
    </w:pPr>
    <w:rPr>
      <w:rFonts w:asciiTheme="majorHAnsi" w:hAnsiTheme="majorHAnsi" w:eastAsiaTheme="majorEastAsia" w:cstheme="majorBidi"/>
      <w:b/>
      <w:bCs/>
      <w:kern w:val="0"/>
      <w:sz w:val="28"/>
      <w:szCs w:val="28"/>
    </w:rPr>
  </w:style>
  <w:style w:type="paragraph" w:styleId="6">
    <w:name w:val="heading 5"/>
    <w:basedOn w:val="1"/>
    <w:next w:val="1"/>
    <w:link w:val="123"/>
    <w:semiHidden/>
    <w:unhideWhenUsed/>
    <w:qFormat/>
    <w:uiPriority w:val="9"/>
    <w:pPr>
      <w:keepNext/>
      <w:keepLines/>
      <w:widowControl/>
      <w:spacing w:before="280" w:after="290" w:line="376" w:lineRule="auto"/>
      <w:jc w:val="left"/>
      <w:outlineLvl w:val="4"/>
    </w:pPr>
    <w:rPr>
      <w:rFonts w:cs="宋体"/>
      <w:b/>
      <w:bCs/>
      <w:kern w:val="0"/>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119"/>
    <w:semiHidden/>
    <w:unhideWhenUsed/>
    <w:qFormat/>
    <w:uiPriority w:val="99"/>
    <w:pPr>
      <w:widowControl/>
      <w:jc w:val="left"/>
    </w:pPr>
    <w:rPr>
      <w:rFonts w:cs="宋体"/>
      <w:kern w:val="0"/>
      <w:szCs w:val="24"/>
    </w:rPr>
  </w:style>
  <w:style w:type="paragraph" w:styleId="9">
    <w:name w:val="Body Text"/>
    <w:basedOn w:val="1"/>
    <w:link w:val="73"/>
    <w:qFormat/>
    <w:uiPriority w:val="0"/>
    <w:pPr>
      <w:spacing w:after="120"/>
    </w:pPr>
    <w:rPr>
      <w:rFonts w:ascii="Calibri" w:hAnsi="Calibri"/>
      <w:kern w:val="0"/>
      <w:sz w:val="20"/>
      <w:szCs w:val="20"/>
    </w:rPr>
  </w:style>
  <w:style w:type="paragraph" w:styleId="10">
    <w:name w:val="Body Text Indent"/>
    <w:basedOn w:val="1"/>
    <w:link w:val="111"/>
    <w:qFormat/>
    <w:uiPriority w:val="0"/>
    <w:pPr>
      <w:spacing w:after="120"/>
      <w:ind w:left="420" w:leftChars="200"/>
    </w:pPr>
    <w:rPr>
      <w:rFonts w:ascii="Times New Roman" w:hAnsi="Times New Roman"/>
      <w:sz w:val="21"/>
      <w:szCs w:val="24"/>
    </w:rPr>
  </w:style>
  <w:style w:type="paragraph" w:styleId="11">
    <w:name w:val="List 2"/>
    <w:basedOn w:val="1"/>
    <w:qFormat/>
    <w:uiPriority w:val="0"/>
    <w:pPr>
      <w:ind w:left="100" w:leftChars="200" w:hanging="200" w:hangingChars="200"/>
    </w:pPr>
    <w:rPr>
      <w:rFonts w:ascii="Times New Roman" w:hAnsi="Times New Roman"/>
      <w:sz w:val="21"/>
      <w:szCs w:val="24"/>
    </w:rPr>
  </w:style>
  <w:style w:type="paragraph" w:styleId="12">
    <w:name w:val="Date"/>
    <w:basedOn w:val="1"/>
    <w:next w:val="1"/>
    <w:link w:val="81"/>
    <w:semiHidden/>
    <w:unhideWhenUsed/>
    <w:qFormat/>
    <w:uiPriority w:val="99"/>
    <w:pPr>
      <w:ind w:left="100" w:leftChars="2500"/>
    </w:pPr>
  </w:style>
  <w:style w:type="paragraph" w:styleId="13">
    <w:name w:val="endnote text"/>
    <w:basedOn w:val="1"/>
    <w:link w:val="50"/>
    <w:unhideWhenUsed/>
    <w:qFormat/>
    <w:uiPriority w:val="0"/>
    <w:pPr>
      <w:snapToGrid w:val="0"/>
      <w:jc w:val="left"/>
    </w:pPr>
  </w:style>
  <w:style w:type="paragraph" w:styleId="14">
    <w:name w:val="Balloon Text"/>
    <w:basedOn w:val="1"/>
    <w:link w:val="65"/>
    <w:semiHidden/>
    <w:unhideWhenUsed/>
    <w:qFormat/>
    <w:uiPriority w:val="99"/>
    <w:rPr>
      <w:sz w:val="18"/>
      <w:szCs w:val="18"/>
    </w:rPr>
  </w:style>
  <w:style w:type="paragraph" w:styleId="15">
    <w:name w:val="footer"/>
    <w:basedOn w:val="1"/>
    <w:link w:val="41"/>
    <w:qFormat/>
    <w:uiPriority w:val="99"/>
    <w:pPr>
      <w:tabs>
        <w:tab w:val="center" w:pos="4153"/>
        <w:tab w:val="right" w:pos="8306"/>
      </w:tabs>
      <w:snapToGrid w:val="0"/>
      <w:jc w:val="left"/>
    </w:pPr>
    <w:rPr>
      <w:rFonts w:ascii="Times New Roman" w:hAnsi="Times New Roman" w:eastAsia="PMingLiU"/>
      <w:sz w:val="20"/>
      <w:szCs w:val="20"/>
      <w:lang w:eastAsia="zh-TW"/>
    </w:rPr>
  </w:style>
  <w:style w:type="paragraph" w:styleId="16">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130"/>
    <w:qFormat/>
    <w:uiPriority w:val="11"/>
    <w:pPr>
      <w:spacing w:before="240" w:after="60" w:line="312" w:lineRule="auto"/>
      <w:jc w:val="center"/>
      <w:outlineLvl w:val="1"/>
    </w:pPr>
    <w:rPr>
      <w:rFonts w:ascii="Arial" w:hAnsi="Arial"/>
      <w:b/>
      <w:bCs/>
      <w:kern w:val="28"/>
      <w:szCs w:val="32"/>
    </w:rPr>
  </w:style>
  <w:style w:type="paragraph" w:styleId="18">
    <w:name w:val="footnote text"/>
    <w:basedOn w:val="1"/>
    <w:link w:val="43"/>
    <w:qFormat/>
    <w:uiPriority w:val="99"/>
    <w:pPr>
      <w:snapToGrid w:val="0"/>
      <w:jc w:val="left"/>
    </w:pPr>
    <w:rPr>
      <w:rFonts w:ascii="Times New Roman" w:hAnsi="Times New Roman" w:eastAsia="PMingLiU"/>
      <w:sz w:val="20"/>
      <w:szCs w:val="20"/>
      <w:lang w:eastAsia="zh-TW"/>
    </w:rPr>
  </w:style>
  <w:style w:type="paragraph" w:styleId="19">
    <w:name w:val="Normal (Web)"/>
    <w:basedOn w:val="1"/>
    <w:unhideWhenUsed/>
    <w:qFormat/>
    <w:uiPriority w:val="99"/>
    <w:pPr>
      <w:widowControl/>
      <w:spacing w:before="100" w:beforeAutospacing="1" w:after="100" w:afterAutospacing="1"/>
      <w:jc w:val="left"/>
    </w:pPr>
    <w:rPr>
      <w:rFonts w:cs="宋体"/>
      <w:kern w:val="0"/>
      <w:szCs w:val="24"/>
    </w:rPr>
  </w:style>
  <w:style w:type="paragraph" w:styleId="20">
    <w:name w:val="Title"/>
    <w:basedOn w:val="1"/>
    <w:next w:val="1"/>
    <w:link w:val="88"/>
    <w:qFormat/>
    <w:uiPriority w:val="10"/>
    <w:pPr>
      <w:spacing w:before="240" w:after="60"/>
      <w:jc w:val="center"/>
      <w:outlineLvl w:val="0"/>
    </w:pPr>
    <w:rPr>
      <w:rFonts w:ascii="Cambria" w:hAnsi="Cambria"/>
      <w:b/>
      <w:bCs/>
      <w:sz w:val="32"/>
      <w:szCs w:val="32"/>
    </w:rPr>
  </w:style>
  <w:style w:type="paragraph" w:styleId="21">
    <w:name w:val="annotation subject"/>
    <w:basedOn w:val="8"/>
    <w:next w:val="8"/>
    <w:link w:val="120"/>
    <w:semiHidden/>
    <w:unhideWhenUsed/>
    <w:qFormat/>
    <w:uiPriority w:val="99"/>
    <w:rPr>
      <w:b/>
      <w:bCs/>
    </w:rPr>
  </w:style>
  <w:style w:type="table" w:styleId="23">
    <w:name w:val="Table Grid"/>
    <w:basedOn w:val="2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endnote reference"/>
    <w:unhideWhenUsed/>
    <w:qFormat/>
    <w:uiPriority w:val="0"/>
    <w:rPr>
      <w:vertAlign w:val="superscript"/>
    </w:rPr>
  </w:style>
  <w:style w:type="character" w:styleId="27">
    <w:name w:val="page number"/>
    <w:qFormat/>
    <w:uiPriority w:val="0"/>
  </w:style>
  <w:style w:type="character" w:styleId="28">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9">
    <w:name w:val="Emphasis"/>
    <w:qFormat/>
    <w:uiPriority w:val="20"/>
    <w:rPr>
      <w:i/>
      <w:iCs/>
    </w:rPr>
  </w:style>
  <w:style w:type="character" w:styleId="30">
    <w:name w:val="Hyperlink"/>
    <w:unhideWhenUsed/>
    <w:qFormat/>
    <w:uiPriority w:val="99"/>
    <w:rPr>
      <w:color w:val="0563C1"/>
      <w:u w:val="single"/>
    </w:rPr>
  </w:style>
  <w:style w:type="character" w:styleId="31">
    <w:name w:val="annotation reference"/>
    <w:basedOn w:val="24"/>
    <w:semiHidden/>
    <w:unhideWhenUsed/>
    <w:qFormat/>
    <w:uiPriority w:val="99"/>
    <w:rPr>
      <w:sz w:val="21"/>
      <w:szCs w:val="21"/>
    </w:rPr>
  </w:style>
  <w:style w:type="character" w:styleId="32">
    <w:name w:val="footnote reference"/>
    <w:basedOn w:val="24"/>
    <w:qFormat/>
    <w:uiPriority w:val="99"/>
    <w:rPr>
      <w:vertAlign w:val="superscript"/>
    </w:rPr>
  </w:style>
  <w:style w:type="character" w:customStyle="1" w:styleId="33">
    <w:name w:val="标题 2 字符"/>
    <w:link w:val="3"/>
    <w:qFormat/>
    <w:uiPriority w:val="9"/>
    <w:rPr>
      <w:rFonts w:ascii="Cambria" w:hAnsi="Cambria" w:eastAsia="宋体" w:cs="Times New Roman"/>
      <w:b/>
      <w:bCs/>
      <w:sz w:val="32"/>
      <w:szCs w:val="32"/>
    </w:rPr>
  </w:style>
  <w:style w:type="character" w:customStyle="1" w:styleId="34">
    <w:name w:val="标题 3 字符"/>
    <w:link w:val="4"/>
    <w:qFormat/>
    <w:uiPriority w:val="9"/>
    <w:rPr>
      <w:b/>
      <w:bCs/>
      <w:sz w:val="32"/>
      <w:szCs w:val="32"/>
    </w:rPr>
  </w:style>
  <w:style w:type="character" w:customStyle="1" w:styleId="35">
    <w:name w:val="标题 4 字符"/>
    <w:basedOn w:val="24"/>
    <w:link w:val="5"/>
    <w:semiHidden/>
    <w:qFormat/>
    <w:uiPriority w:val="9"/>
    <w:rPr>
      <w:rFonts w:asciiTheme="majorHAnsi" w:hAnsiTheme="majorHAnsi" w:eastAsiaTheme="majorEastAsia" w:cstheme="majorBidi"/>
      <w:b/>
      <w:bCs/>
      <w:sz w:val="28"/>
      <w:szCs w:val="28"/>
    </w:rPr>
  </w:style>
  <w:style w:type="character" w:customStyle="1" w:styleId="36">
    <w:name w:val="标题 5 字符"/>
    <w:basedOn w:val="24"/>
    <w:semiHidden/>
    <w:qFormat/>
    <w:uiPriority w:val="9"/>
    <w:rPr>
      <w:rFonts w:ascii="宋体" w:hAnsi="宋体"/>
      <w:b/>
      <w:bCs/>
      <w:kern w:val="2"/>
      <w:sz w:val="28"/>
      <w:szCs w:val="28"/>
    </w:rPr>
  </w:style>
  <w:style w:type="character" w:customStyle="1" w:styleId="37">
    <w:name w:val="标题 1 字符"/>
    <w:link w:val="2"/>
    <w:qFormat/>
    <w:uiPriority w:val="9"/>
    <w:rPr>
      <w:b/>
      <w:bCs/>
      <w:kern w:val="44"/>
      <w:sz w:val="44"/>
      <w:szCs w:val="44"/>
    </w:rPr>
  </w:style>
  <w:style w:type="paragraph" w:customStyle="1" w:styleId="38">
    <w:name w:val="網文正文"/>
    <w:basedOn w:val="1"/>
    <w:link w:val="48"/>
    <w:qFormat/>
    <w:uiPriority w:val="0"/>
    <w:pPr>
      <w:spacing w:line="480" w:lineRule="auto"/>
      <w:ind w:firstLine="200" w:firstLineChars="200"/>
      <w:textAlignment w:val="center"/>
    </w:pPr>
    <w:rPr>
      <w:sz w:val="28"/>
    </w:rPr>
  </w:style>
  <w:style w:type="paragraph" w:customStyle="1" w:styleId="39">
    <w:name w:val="網文引用"/>
    <w:basedOn w:val="1"/>
    <w:link w:val="49"/>
    <w:qFormat/>
    <w:uiPriority w:val="0"/>
    <w:pPr>
      <w:tabs>
        <w:tab w:val="left" w:pos="397"/>
      </w:tabs>
      <w:overflowPunct w:val="0"/>
      <w:topLinePunct/>
      <w:autoSpaceDE w:val="0"/>
      <w:autoSpaceDN w:val="0"/>
      <w:adjustRightInd w:val="0"/>
      <w:spacing w:before="150" w:beforeLines="150" w:after="150" w:afterLines="150" w:line="480" w:lineRule="auto"/>
      <w:ind w:left="420" w:firstLine="200" w:firstLineChars="200"/>
      <w:contextualSpacing/>
      <w:textAlignment w:val="baseline"/>
    </w:pPr>
    <w:rPr>
      <w:rFonts w:ascii="楷体" w:hAnsi="楷体" w:eastAsia="楷体"/>
      <w:spacing w:val="4"/>
      <w:kern w:val="0"/>
      <w:lang w:eastAsia="zh-TW"/>
    </w:rPr>
  </w:style>
  <w:style w:type="character" w:customStyle="1" w:styleId="40">
    <w:name w:val="脚注文本 Char"/>
    <w:qFormat/>
    <w:uiPriority w:val="99"/>
    <w:rPr>
      <w:rFonts w:ascii="宋体"/>
      <w:kern w:val="2"/>
      <w:sz w:val="18"/>
      <w:szCs w:val="18"/>
    </w:rPr>
  </w:style>
  <w:style w:type="character" w:customStyle="1" w:styleId="41">
    <w:name w:val="页脚 字符"/>
    <w:link w:val="15"/>
    <w:qFormat/>
    <w:uiPriority w:val="99"/>
    <w:rPr>
      <w:rFonts w:ascii="Times New Roman" w:hAnsi="Times New Roman" w:eastAsia="PMingLiU"/>
      <w:kern w:val="2"/>
      <w:lang w:eastAsia="zh-TW"/>
    </w:rPr>
  </w:style>
  <w:style w:type="paragraph" w:customStyle="1" w:styleId="42">
    <w:name w:val="網文正文頂格"/>
    <w:basedOn w:val="38"/>
    <w:qFormat/>
    <w:uiPriority w:val="0"/>
    <w:pPr>
      <w:ind w:firstLine="0" w:firstLineChars="0"/>
      <w:jc w:val="left"/>
    </w:pPr>
  </w:style>
  <w:style w:type="character" w:customStyle="1" w:styleId="43">
    <w:name w:val="脚注文本 字符1"/>
    <w:link w:val="18"/>
    <w:semiHidden/>
    <w:qFormat/>
    <w:locked/>
    <w:uiPriority w:val="99"/>
    <w:rPr>
      <w:rFonts w:ascii="Times New Roman" w:hAnsi="Times New Roman" w:eastAsia="PMingLiU"/>
      <w:kern w:val="2"/>
      <w:lang w:eastAsia="zh-TW"/>
    </w:rPr>
  </w:style>
  <w:style w:type="paragraph" w:customStyle="1" w:styleId="44">
    <w:name w:val="網文標題"/>
    <w:basedOn w:val="1"/>
    <w:link w:val="45"/>
    <w:qFormat/>
    <w:uiPriority w:val="0"/>
    <w:pPr>
      <w:jc w:val="center"/>
    </w:pPr>
    <w:rPr>
      <w:rFonts w:ascii="黑体"/>
      <w:b/>
      <w:sz w:val="32"/>
      <w:szCs w:val="44"/>
    </w:rPr>
  </w:style>
  <w:style w:type="character" w:customStyle="1" w:styleId="45">
    <w:name w:val="網文標題 Char"/>
    <w:link w:val="44"/>
    <w:qFormat/>
    <w:uiPriority w:val="0"/>
    <w:rPr>
      <w:rFonts w:ascii="黑体"/>
      <w:b/>
      <w:kern w:val="2"/>
      <w:sz w:val="32"/>
      <w:szCs w:val="44"/>
    </w:rPr>
  </w:style>
  <w:style w:type="paragraph" w:customStyle="1" w:styleId="46">
    <w:name w:val="網文作者"/>
    <w:basedOn w:val="1"/>
    <w:link w:val="47"/>
    <w:qFormat/>
    <w:uiPriority w:val="0"/>
    <w:pPr>
      <w:jc w:val="center"/>
    </w:pPr>
    <w:rPr>
      <w:b/>
      <w:sz w:val="28"/>
      <w:lang w:eastAsia="zh-TW"/>
    </w:rPr>
  </w:style>
  <w:style w:type="character" w:customStyle="1" w:styleId="47">
    <w:name w:val="網文作者 Char"/>
    <w:link w:val="46"/>
    <w:qFormat/>
    <w:uiPriority w:val="0"/>
    <w:rPr>
      <w:rFonts w:ascii="宋体" w:hAnsi="宋体"/>
      <w:b/>
      <w:kern w:val="2"/>
      <w:sz w:val="28"/>
      <w:szCs w:val="22"/>
      <w:lang w:eastAsia="zh-TW"/>
    </w:rPr>
  </w:style>
  <w:style w:type="character" w:customStyle="1" w:styleId="48">
    <w:name w:val="網文正文 Char"/>
    <w:link w:val="38"/>
    <w:qFormat/>
    <w:uiPriority w:val="0"/>
    <w:rPr>
      <w:rFonts w:ascii="宋体" w:hAnsi="宋体"/>
      <w:kern w:val="2"/>
      <w:sz w:val="28"/>
      <w:szCs w:val="22"/>
    </w:rPr>
  </w:style>
  <w:style w:type="character" w:customStyle="1" w:styleId="49">
    <w:name w:val="網文引用 Char"/>
    <w:link w:val="39"/>
    <w:qFormat/>
    <w:uiPriority w:val="0"/>
    <w:rPr>
      <w:rFonts w:ascii="楷体" w:hAnsi="楷体" w:eastAsia="楷体"/>
      <w:spacing w:val="4"/>
      <w:sz w:val="24"/>
      <w:szCs w:val="22"/>
      <w:lang w:eastAsia="zh-TW"/>
    </w:rPr>
  </w:style>
  <w:style w:type="character" w:customStyle="1" w:styleId="50">
    <w:name w:val="尾注文本 字符1"/>
    <w:link w:val="13"/>
    <w:qFormat/>
    <w:uiPriority w:val="99"/>
    <w:rPr>
      <w:rFonts w:ascii="宋体" w:hAnsi="宋体"/>
      <w:kern w:val="2"/>
      <w:sz w:val="24"/>
      <w:szCs w:val="22"/>
    </w:rPr>
  </w:style>
  <w:style w:type="character" w:customStyle="1" w:styleId="51">
    <w:name w:val="页眉 字符"/>
    <w:link w:val="16"/>
    <w:qFormat/>
    <w:uiPriority w:val="99"/>
    <w:rPr>
      <w:rFonts w:ascii="宋体" w:hAnsi="宋体"/>
      <w:kern w:val="2"/>
      <w:sz w:val="18"/>
      <w:szCs w:val="18"/>
    </w:rPr>
  </w:style>
  <w:style w:type="character" w:customStyle="1" w:styleId="52">
    <w:name w:val="st1"/>
    <w:qFormat/>
    <w:uiPriority w:val="0"/>
  </w:style>
  <w:style w:type="paragraph" w:customStyle="1" w:styleId="53">
    <w:name w:val="标题 11"/>
    <w:basedOn w:val="1"/>
    <w:next w:val="1"/>
    <w:qFormat/>
    <w:uiPriority w:val="9"/>
    <w:pPr>
      <w:keepNext/>
      <w:keepLines/>
      <w:spacing w:before="340" w:after="330" w:line="578" w:lineRule="auto"/>
      <w:outlineLvl w:val="0"/>
    </w:pPr>
    <w:rPr>
      <w:rFonts w:ascii="Calibri" w:hAnsi="Calibri"/>
      <w:b/>
      <w:bCs/>
      <w:kern w:val="44"/>
      <w:sz w:val="44"/>
      <w:szCs w:val="44"/>
    </w:rPr>
  </w:style>
  <w:style w:type="paragraph" w:customStyle="1" w:styleId="54">
    <w:name w:val="标题 21"/>
    <w:basedOn w:val="1"/>
    <w:next w:val="1"/>
    <w:semiHidden/>
    <w:unhideWhenUsed/>
    <w:qFormat/>
    <w:uiPriority w:val="9"/>
    <w:pPr>
      <w:keepNext/>
      <w:keepLines/>
      <w:spacing w:before="260" w:after="260" w:line="416" w:lineRule="auto"/>
      <w:outlineLvl w:val="1"/>
    </w:pPr>
    <w:rPr>
      <w:rFonts w:ascii="Cambria" w:hAnsi="Cambria"/>
      <w:b/>
      <w:bCs/>
      <w:sz w:val="32"/>
      <w:szCs w:val="32"/>
    </w:rPr>
  </w:style>
  <w:style w:type="paragraph" w:customStyle="1" w:styleId="55">
    <w:name w:val="标题 31"/>
    <w:basedOn w:val="1"/>
    <w:next w:val="1"/>
    <w:semiHidden/>
    <w:unhideWhenUsed/>
    <w:qFormat/>
    <w:uiPriority w:val="9"/>
    <w:pPr>
      <w:keepNext/>
      <w:keepLines/>
      <w:spacing w:before="260" w:after="260" w:line="416" w:lineRule="auto"/>
      <w:outlineLvl w:val="2"/>
    </w:pPr>
    <w:rPr>
      <w:rFonts w:ascii="Calibri" w:hAnsi="Calibri"/>
      <w:b/>
      <w:bCs/>
      <w:sz w:val="32"/>
      <w:szCs w:val="32"/>
    </w:rPr>
  </w:style>
  <w:style w:type="paragraph" w:customStyle="1" w:styleId="56">
    <w:name w:val="无间隔1"/>
    <w:next w:val="57"/>
    <w:qFormat/>
    <w:uiPriority w:val="1"/>
    <w:pPr>
      <w:widowControl w:val="0"/>
      <w:jc w:val="both"/>
    </w:pPr>
    <w:rPr>
      <w:rFonts w:ascii="Calibri" w:hAnsi="Calibri" w:eastAsia="宋体" w:cs="Times New Roman"/>
      <w:kern w:val="2"/>
      <w:sz w:val="21"/>
      <w:szCs w:val="22"/>
      <w:lang w:val="en-US" w:eastAsia="zh-CN" w:bidi="ar-SA"/>
    </w:rPr>
  </w:style>
  <w:style w:type="paragraph" w:styleId="57">
    <w:name w:val="No Spacing"/>
    <w:qFormat/>
    <w:uiPriority w:val="1"/>
    <w:pPr>
      <w:widowControl w:val="0"/>
      <w:jc w:val="both"/>
    </w:pPr>
    <w:rPr>
      <w:rFonts w:ascii="宋体" w:hAnsi="宋体" w:eastAsia="宋体" w:cs="Times New Roman"/>
      <w:kern w:val="2"/>
      <w:sz w:val="24"/>
      <w:szCs w:val="22"/>
      <w:lang w:val="en-US" w:eastAsia="zh-CN" w:bidi="ar-SA"/>
    </w:rPr>
  </w:style>
  <w:style w:type="paragraph" w:customStyle="1" w:styleId="58">
    <w:name w:val="批注框文本1"/>
    <w:basedOn w:val="1"/>
    <w:next w:val="14"/>
    <w:link w:val="59"/>
    <w:semiHidden/>
    <w:unhideWhenUsed/>
    <w:qFormat/>
    <w:uiPriority w:val="99"/>
    <w:rPr>
      <w:rFonts w:ascii="Calibri" w:hAnsi="Calibri"/>
      <w:kern w:val="0"/>
      <w:sz w:val="18"/>
      <w:szCs w:val="18"/>
    </w:rPr>
  </w:style>
  <w:style w:type="character" w:customStyle="1" w:styleId="59">
    <w:name w:val="批注框文本 Char"/>
    <w:link w:val="58"/>
    <w:semiHidden/>
    <w:qFormat/>
    <w:uiPriority w:val="99"/>
    <w:rPr>
      <w:sz w:val="18"/>
      <w:szCs w:val="18"/>
    </w:rPr>
  </w:style>
  <w:style w:type="paragraph" w:customStyle="1" w:styleId="60">
    <w:name w:val="列出段落1"/>
    <w:basedOn w:val="1"/>
    <w:next w:val="61"/>
    <w:qFormat/>
    <w:uiPriority w:val="34"/>
    <w:pPr>
      <w:spacing w:after="120" w:line="276" w:lineRule="auto"/>
      <w:ind w:firstLine="420" w:firstLineChars="200"/>
    </w:pPr>
    <w:rPr>
      <w:rFonts w:ascii="Calibri" w:hAnsi="Calibri"/>
      <w:sz w:val="21"/>
    </w:rPr>
  </w:style>
  <w:style w:type="paragraph" w:styleId="61">
    <w:name w:val="List Paragraph"/>
    <w:basedOn w:val="1"/>
    <w:qFormat/>
    <w:uiPriority w:val="34"/>
    <w:pPr>
      <w:ind w:firstLine="420" w:firstLineChars="200"/>
    </w:pPr>
  </w:style>
  <w:style w:type="character" w:customStyle="1" w:styleId="62">
    <w:name w:val="标题 1 Char1"/>
    <w:qFormat/>
    <w:uiPriority w:val="9"/>
    <w:rPr>
      <w:rFonts w:ascii="宋体" w:hAnsi="宋体"/>
      <w:b/>
      <w:bCs/>
      <w:kern w:val="44"/>
      <w:sz w:val="44"/>
      <w:szCs w:val="44"/>
    </w:rPr>
  </w:style>
  <w:style w:type="character" w:customStyle="1" w:styleId="63">
    <w:name w:val="标题 2 Char1"/>
    <w:semiHidden/>
    <w:qFormat/>
    <w:uiPriority w:val="9"/>
    <w:rPr>
      <w:rFonts w:ascii="Calibri Light" w:hAnsi="Calibri Light" w:eastAsia="宋体" w:cs="Times New Roman"/>
      <w:b/>
      <w:bCs/>
      <w:kern w:val="2"/>
      <w:sz w:val="32"/>
      <w:szCs w:val="32"/>
    </w:rPr>
  </w:style>
  <w:style w:type="character" w:customStyle="1" w:styleId="64">
    <w:name w:val="标题 3 Char1"/>
    <w:semiHidden/>
    <w:qFormat/>
    <w:uiPriority w:val="9"/>
    <w:rPr>
      <w:rFonts w:ascii="宋体" w:hAnsi="宋体"/>
      <w:b/>
      <w:bCs/>
      <w:kern w:val="2"/>
      <w:sz w:val="32"/>
      <w:szCs w:val="32"/>
    </w:rPr>
  </w:style>
  <w:style w:type="character" w:customStyle="1" w:styleId="65">
    <w:name w:val="批注框文本 字符"/>
    <w:link w:val="14"/>
    <w:semiHidden/>
    <w:qFormat/>
    <w:uiPriority w:val="99"/>
    <w:rPr>
      <w:rFonts w:ascii="宋体" w:hAnsi="宋体"/>
      <w:kern w:val="2"/>
      <w:sz w:val="18"/>
      <w:szCs w:val="18"/>
    </w:rPr>
  </w:style>
  <w:style w:type="character" w:customStyle="1" w:styleId="66">
    <w:name w:val="apple-converted-space"/>
    <w:qFormat/>
    <w:uiPriority w:val="0"/>
  </w:style>
  <w:style w:type="paragraph" w:customStyle="1" w:styleId="6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8">
    <w:name w:val="Char1"/>
    <w:basedOn w:val="1"/>
    <w:qFormat/>
    <w:uiPriority w:val="0"/>
    <w:rPr>
      <w:rFonts w:ascii="Tahoma" w:hAnsi="Tahoma"/>
      <w:szCs w:val="20"/>
    </w:rPr>
  </w:style>
  <w:style w:type="character" w:customStyle="1" w:styleId="69">
    <w:name w:val="postbody1"/>
    <w:qFormat/>
    <w:uiPriority w:val="0"/>
    <w:rPr>
      <w:sz w:val="11"/>
      <w:szCs w:val="11"/>
    </w:rPr>
  </w:style>
  <w:style w:type="character" w:customStyle="1" w:styleId="70">
    <w:name w:val="hot"/>
    <w:basedOn w:val="24"/>
    <w:qFormat/>
    <w:uiPriority w:val="0"/>
  </w:style>
  <w:style w:type="character" w:customStyle="1" w:styleId="71">
    <w:name w:val="note"/>
    <w:qFormat/>
    <w:uiPriority w:val="0"/>
    <w:rPr>
      <w:color w:val="800080"/>
      <w:sz w:val="20"/>
      <w:szCs w:val="20"/>
    </w:rPr>
  </w:style>
  <w:style w:type="character" w:customStyle="1" w:styleId="72">
    <w:name w:val="Char Char7"/>
    <w:semiHidden/>
    <w:qFormat/>
    <w:uiPriority w:val="0"/>
    <w:rPr>
      <w:rFonts w:eastAsia="宋体"/>
      <w:kern w:val="2"/>
      <w:sz w:val="18"/>
      <w:szCs w:val="18"/>
      <w:lang w:val="en-US" w:eastAsia="zh-CN" w:bidi="ar-SA"/>
    </w:rPr>
  </w:style>
  <w:style w:type="character" w:customStyle="1" w:styleId="73">
    <w:name w:val="正文文本 字符"/>
    <w:link w:val="9"/>
    <w:qFormat/>
    <w:uiPriority w:val="0"/>
    <w:rPr>
      <w:lang w:val="en-US" w:eastAsia="zh-CN"/>
    </w:rPr>
  </w:style>
  <w:style w:type="character" w:customStyle="1" w:styleId="74">
    <w:name w:val="byline1"/>
    <w:qFormat/>
    <w:uiPriority w:val="0"/>
    <w:rPr>
      <w:color w:val="408080"/>
      <w:sz w:val="32"/>
      <w:szCs w:val="32"/>
    </w:rPr>
  </w:style>
  <w:style w:type="character" w:customStyle="1" w:styleId="75">
    <w:name w:val="Hyperlink.0"/>
    <w:qFormat/>
    <w:uiPriority w:val="0"/>
    <w:rPr>
      <w:rFonts w:ascii="DFKai-SB" w:hAnsi="DFKai-SB" w:eastAsia="DFKai-SB" w:cs="DFKai-SB"/>
      <w:sz w:val="22"/>
      <w:szCs w:val="22"/>
      <w:lang w:val="zh-TW" w:eastAsia="zh-TW"/>
    </w:rPr>
  </w:style>
  <w:style w:type="character" w:customStyle="1" w:styleId="76">
    <w:name w:val="尾注文本 字符"/>
    <w:link w:val="77"/>
    <w:qFormat/>
    <w:uiPriority w:val="0"/>
    <w:rPr>
      <w:kern w:val="2"/>
      <w:sz w:val="21"/>
      <w:szCs w:val="24"/>
    </w:rPr>
  </w:style>
  <w:style w:type="paragraph" w:customStyle="1" w:styleId="77">
    <w:name w:val="尾注文本1"/>
    <w:basedOn w:val="1"/>
    <w:next w:val="13"/>
    <w:link w:val="76"/>
    <w:semiHidden/>
    <w:unhideWhenUsed/>
    <w:qFormat/>
    <w:uiPriority w:val="99"/>
    <w:pPr>
      <w:snapToGrid w:val="0"/>
      <w:jc w:val="left"/>
    </w:pPr>
    <w:rPr>
      <w:rFonts w:ascii="Calibri" w:hAnsi="Calibri"/>
      <w:sz w:val="21"/>
      <w:szCs w:val="24"/>
    </w:rPr>
  </w:style>
  <w:style w:type="character" w:customStyle="1" w:styleId="78">
    <w:name w:val="脚注文本 字符"/>
    <w:qFormat/>
    <w:uiPriority w:val="99"/>
    <w:rPr>
      <w:sz w:val="20"/>
      <w:szCs w:val="20"/>
    </w:rPr>
  </w:style>
  <w:style w:type="paragraph" w:customStyle="1" w:styleId="79">
    <w:name w:val="注文"/>
    <w:basedOn w:val="1"/>
    <w:qFormat/>
    <w:uiPriority w:val="0"/>
    <w:pPr>
      <w:ind w:left="1155" w:leftChars="405" w:hanging="21" w:hangingChars="10"/>
    </w:pPr>
    <w:rPr>
      <w:rFonts w:ascii="Calibri" w:hAnsi="Calibri"/>
      <w:color w:val="92D050"/>
      <w:sz w:val="21"/>
      <w:szCs w:val="21"/>
    </w:rPr>
  </w:style>
  <w:style w:type="paragraph" w:customStyle="1" w:styleId="80">
    <w:name w:val="小標"/>
    <w:basedOn w:val="1"/>
    <w:qFormat/>
    <w:uiPriority w:val="0"/>
    <w:pPr>
      <w:ind w:left="708" w:leftChars="53" w:hanging="560" w:hangingChars="200"/>
    </w:pPr>
    <w:rPr>
      <w:rFonts w:ascii="Calibri" w:hAnsi="Calibri"/>
      <w:sz w:val="21"/>
      <w:szCs w:val="24"/>
    </w:rPr>
  </w:style>
  <w:style w:type="character" w:customStyle="1" w:styleId="81">
    <w:name w:val="日期 字符"/>
    <w:link w:val="12"/>
    <w:semiHidden/>
    <w:qFormat/>
    <w:uiPriority w:val="99"/>
    <w:rPr>
      <w:rFonts w:ascii="宋体" w:hAnsi="宋体"/>
      <w:kern w:val="2"/>
      <w:sz w:val="24"/>
      <w:szCs w:val="22"/>
    </w:rPr>
  </w:style>
  <w:style w:type="character" w:customStyle="1" w:styleId="82">
    <w:name w:val="尾注文本 Char"/>
    <w:qFormat/>
    <w:uiPriority w:val="0"/>
    <w:rPr>
      <w:kern w:val="2"/>
      <w:sz w:val="21"/>
      <w:szCs w:val="24"/>
    </w:rPr>
  </w:style>
  <w:style w:type="character" w:customStyle="1" w:styleId="83">
    <w:name w:val="fontstyle01"/>
    <w:basedOn w:val="24"/>
    <w:qFormat/>
    <w:uiPriority w:val="0"/>
    <w:rPr>
      <w:rFonts w:hint="default" w:ascii="TimesNewRomanPS-BoldMT" w:hAnsi="TimesNewRomanPS-BoldMT"/>
      <w:b/>
      <w:bCs/>
      <w:color w:val="000000"/>
      <w:sz w:val="36"/>
      <w:szCs w:val="36"/>
    </w:rPr>
  </w:style>
  <w:style w:type="character" w:customStyle="1" w:styleId="84">
    <w:name w:val="fontstyle11"/>
    <w:basedOn w:val="24"/>
    <w:qFormat/>
    <w:uiPriority w:val="0"/>
    <w:rPr>
      <w:rFonts w:hint="eastAsia" w:ascii="宋体" w:hAnsi="宋体" w:eastAsia="宋体"/>
      <w:color w:val="000000"/>
      <w:sz w:val="36"/>
      <w:szCs w:val="36"/>
    </w:rPr>
  </w:style>
  <w:style w:type="character" w:customStyle="1" w:styleId="85">
    <w:name w:val="fontstyle21"/>
    <w:basedOn w:val="24"/>
    <w:qFormat/>
    <w:uiPriority w:val="0"/>
    <w:rPr>
      <w:rFonts w:hint="eastAsia" w:ascii="Batang" w:eastAsia="Batang"/>
      <w:color w:val="000000"/>
      <w:sz w:val="24"/>
      <w:szCs w:val="24"/>
    </w:rPr>
  </w:style>
  <w:style w:type="character" w:customStyle="1" w:styleId="86">
    <w:name w:val="fontstyle31"/>
    <w:basedOn w:val="24"/>
    <w:qFormat/>
    <w:uiPriority w:val="0"/>
    <w:rPr>
      <w:rFonts w:hint="default" w:ascii="New Gulim" w:hAnsi="New Gulim"/>
      <w:color w:val="000000"/>
      <w:sz w:val="24"/>
      <w:szCs w:val="24"/>
    </w:rPr>
  </w:style>
  <w:style w:type="character" w:customStyle="1" w:styleId="87">
    <w:name w:val="标题 字符"/>
    <w:basedOn w:val="24"/>
    <w:qFormat/>
    <w:uiPriority w:val="10"/>
    <w:rPr>
      <w:rFonts w:asciiTheme="majorHAnsi" w:hAnsiTheme="majorHAnsi" w:eastAsiaTheme="majorEastAsia" w:cstheme="majorBidi"/>
      <w:b/>
      <w:bCs/>
      <w:kern w:val="2"/>
      <w:sz w:val="32"/>
      <w:szCs w:val="32"/>
    </w:rPr>
  </w:style>
  <w:style w:type="character" w:customStyle="1" w:styleId="88">
    <w:name w:val="标题 字符1"/>
    <w:link w:val="20"/>
    <w:qFormat/>
    <w:uiPriority w:val="0"/>
    <w:rPr>
      <w:rFonts w:ascii="Cambria" w:hAnsi="Cambria"/>
      <w:b/>
      <w:bCs/>
      <w:kern w:val="2"/>
      <w:sz w:val="32"/>
      <w:szCs w:val="32"/>
    </w:rPr>
  </w:style>
  <w:style w:type="character" w:customStyle="1" w:styleId="89">
    <w:name w:val="WW-Footnote Reference1"/>
    <w:qFormat/>
    <w:uiPriority w:val="0"/>
    <w:rPr>
      <w:vertAlign w:val="superscript"/>
    </w:rPr>
  </w:style>
  <w:style w:type="character" w:customStyle="1" w:styleId="90">
    <w:name w:val="Endnote Characters"/>
    <w:qFormat/>
    <w:uiPriority w:val="0"/>
    <w:rPr>
      <w:vertAlign w:val="superscript"/>
    </w:rPr>
  </w:style>
  <w:style w:type="character" w:customStyle="1" w:styleId="91">
    <w:name w:val="WW-Endnote Reference12345678"/>
    <w:qFormat/>
    <w:uiPriority w:val="0"/>
    <w:rPr>
      <w:vertAlign w:val="superscript"/>
    </w:rPr>
  </w:style>
  <w:style w:type="paragraph" w:customStyle="1" w:styleId="92">
    <w:name w:val="List Heading"/>
    <w:basedOn w:val="1"/>
    <w:next w:val="1"/>
    <w:qFormat/>
    <w:uiPriority w:val="0"/>
    <w:pPr>
      <w:widowControl/>
      <w:suppressAutoHyphens/>
      <w:jc w:val="left"/>
    </w:pPr>
    <w:rPr>
      <w:rFonts w:ascii="Times New Roman" w:hAnsi="Times New Roman" w:eastAsia="Times New Roman"/>
      <w:kern w:val="1"/>
      <w:szCs w:val="24"/>
      <w:lang w:eastAsia="ar-SA"/>
    </w:rPr>
  </w:style>
  <w:style w:type="paragraph" w:customStyle="1" w:styleId="93">
    <w:name w:val="Quotations"/>
    <w:basedOn w:val="1"/>
    <w:qFormat/>
    <w:uiPriority w:val="0"/>
    <w:pPr>
      <w:widowControl/>
      <w:suppressAutoHyphens/>
      <w:spacing w:after="283"/>
      <w:ind w:left="567" w:right="567"/>
      <w:jc w:val="left"/>
    </w:pPr>
    <w:rPr>
      <w:rFonts w:ascii="Times New Roman" w:hAnsi="Times New Roman" w:eastAsia="Times New Roman"/>
      <w:kern w:val="1"/>
      <w:szCs w:val="24"/>
      <w:lang w:eastAsia="ar-SA"/>
    </w:rPr>
  </w:style>
  <w:style w:type="paragraph" w:customStyle="1" w:styleId="94">
    <w:name w:val="Pa6+1"/>
    <w:basedOn w:val="1"/>
    <w:next w:val="1"/>
    <w:qFormat/>
    <w:uiPriority w:val="0"/>
    <w:pPr>
      <w:widowControl/>
      <w:suppressAutoHyphens/>
      <w:spacing w:line="281" w:lineRule="atLeast"/>
      <w:jc w:val="left"/>
    </w:pPr>
    <w:rPr>
      <w:rFonts w:ascii="Times New Roman" w:hAnsi="Times New Roman" w:cs="Mangal"/>
      <w:kern w:val="1"/>
      <w:szCs w:val="24"/>
      <w:lang w:eastAsia="ar-SA"/>
    </w:rPr>
  </w:style>
  <w:style w:type="character" w:customStyle="1" w:styleId="95">
    <w:name w:val="divimport1"/>
    <w:basedOn w:val="24"/>
    <w:qFormat/>
    <w:uiPriority w:val="0"/>
    <w:rPr>
      <w:rFonts w:hint="eastAsia" w:ascii="宋体" w:hAnsi="宋体" w:eastAsia="宋体"/>
      <w:sz w:val="21"/>
      <w:szCs w:val="21"/>
      <w:shd w:val="clear" w:color="auto" w:fill="FCFCFC"/>
    </w:rPr>
  </w:style>
  <w:style w:type="paragraph" w:customStyle="1" w:styleId="96">
    <w:name w:val="脚注文本 Char Char Char1"/>
    <w:basedOn w:val="1"/>
    <w:next w:val="18"/>
    <w:unhideWhenUsed/>
    <w:qFormat/>
    <w:uiPriority w:val="0"/>
    <w:pPr>
      <w:snapToGrid w:val="0"/>
      <w:jc w:val="left"/>
    </w:pPr>
    <w:rPr>
      <w:rFonts w:asciiTheme="minorHAnsi" w:hAnsiTheme="minorHAnsi" w:eastAsiaTheme="minorEastAsia" w:cstheme="minorBidi"/>
      <w:sz w:val="18"/>
      <w:szCs w:val="18"/>
    </w:rPr>
  </w:style>
  <w:style w:type="character" w:customStyle="1" w:styleId="97">
    <w:name w:val="超链接1"/>
    <w:basedOn w:val="24"/>
    <w:unhideWhenUsed/>
    <w:qFormat/>
    <w:uiPriority w:val="99"/>
    <w:rPr>
      <w:color w:val="0000FF"/>
      <w:u w:val="single"/>
    </w:rPr>
  </w:style>
  <w:style w:type="paragraph" w:customStyle="1" w:styleId="98">
    <w:name w:val="页眉1"/>
    <w:basedOn w:val="1"/>
    <w:next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9">
    <w:name w:val="页脚1"/>
    <w:basedOn w:val="1"/>
    <w:next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100">
    <w:name w:val="Char Char Char Char Char Char Char"/>
    <w:basedOn w:val="1"/>
    <w:qFormat/>
    <w:uiPriority w:val="0"/>
    <w:rPr>
      <w:rFonts w:ascii="Tahoma" w:hAnsi="Tahoma"/>
      <w:bCs/>
      <w:szCs w:val="20"/>
    </w:rPr>
  </w:style>
  <w:style w:type="paragraph" w:customStyle="1" w:styleId="101">
    <w:name w:val="Char Char Char Char Char Char Char6"/>
    <w:basedOn w:val="1"/>
    <w:qFormat/>
    <w:uiPriority w:val="0"/>
    <w:rPr>
      <w:rFonts w:ascii="Tahoma" w:hAnsi="Tahoma"/>
      <w:bCs/>
      <w:szCs w:val="20"/>
    </w:rPr>
  </w:style>
  <w:style w:type="paragraph" w:customStyle="1" w:styleId="102">
    <w:name w:val="Char Char Char Char Char Char Char5"/>
    <w:basedOn w:val="1"/>
    <w:qFormat/>
    <w:uiPriority w:val="0"/>
    <w:rPr>
      <w:rFonts w:ascii="Tahoma" w:hAnsi="Tahoma"/>
      <w:bCs/>
      <w:szCs w:val="20"/>
    </w:rPr>
  </w:style>
  <w:style w:type="paragraph" w:customStyle="1" w:styleId="103">
    <w:name w:val="Char Char Char Char Char Char Char4"/>
    <w:basedOn w:val="1"/>
    <w:qFormat/>
    <w:uiPriority w:val="0"/>
    <w:rPr>
      <w:rFonts w:ascii="Tahoma" w:hAnsi="Tahoma"/>
      <w:bCs/>
      <w:szCs w:val="20"/>
    </w:rPr>
  </w:style>
  <w:style w:type="paragraph" w:customStyle="1" w:styleId="104">
    <w:name w:val="Char Char Char Char Char Char Char3"/>
    <w:basedOn w:val="1"/>
    <w:qFormat/>
    <w:uiPriority w:val="0"/>
    <w:rPr>
      <w:rFonts w:ascii="Tahoma" w:hAnsi="Tahoma"/>
      <w:bCs/>
      <w:szCs w:val="20"/>
    </w:rPr>
  </w:style>
  <w:style w:type="paragraph" w:customStyle="1" w:styleId="105">
    <w:name w:val="Char Char Char Char Char Char Char2"/>
    <w:basedOn w:val="1"/>
    <w:qFormat/>
    <w:uiPriority w:val="0"/>
    <w:rPr>
      <w:rFonts w:ascii="Tahoma" w:hAnsi="Tahoma"/>
      <w:bCs/>
      <w:szCs w:val="20"/>
    </w:rPr>
  </w:style>
  <w:style w:type="paragraph" w:customStyle="1" w:styleId="106">
    <w:name w:val="Char Char Char Char Char Char Char1"/>
    <w:basedOn w:val="1"/>
    <w:qFormat/>
    <w:uiPriority w:val="0"/>
    <w:rPr>
      <w:rFonts w:ascii="Tahoma" w:hAnsi="Tahoma"/>
      <w:bCs/>
      <w:szCs w:val="20"/>
    </w:rPr>
  </w:style>
  <w:style w:type="character" w:customStyle="1" w:styleId="107">
    <w:name w:val="firstpagedate1"/>
    <w:qFormat/>
    <w:uiPriority w:val="0"/>
    <w:rPr>
      <w:rFonts w:hint="default" w:ascii="ˎ̥" w:hAnsi="ˎ̥"/>
      <w:color w:val="5AAA5A"/>
      <w:sz w:val="18"/>
      <w:szCs w:val="18"/>
    </w:rPr>
  </w:style>
  <w:style w:type="character" w:customStyle="1" w:styleId="108">
    <w:name w:val="firstpagedate"/>
    <w:basedOn w:val="24"/>
    <w:qFormat/>
    <w:uiPriority w:val="0"/>
  </w:style>
  <w:style w:type="character" w:customStyle="1" w:styleId="109">
    <w:name w:val="访问过的超链接1"/>
    <w:basedOn w:val="24"/>
    <w:semiHidden/>
    <w:unhideWhenUsed/>
    <w:qFormat/>
    <w:uiPriority w:val="99"/>
    <w:rPr>
      <w:color w:val="800080"/>
      <w:u w:val="single"/>
    </w:rPr>
  </w:style>
  <w:style w:type="character" w:customStyle="1" w:styleId="110">
    <w:name w:val="未处理的提及1"/>
    <w:basedOn w:val="24"/>
    <w:semiHidden/>
    <w:unhideWhenUsed/>
    <w:qFormat/>
    <w:uiPriority w:val="99"/>
    <w:rPr>
      <w:color w:val="605E5C"/>
      <w:shd w:val="clear" w:color="auto" w:fill="E1DFDD"/>
    </w:rPr>
  </w:style>
  <w:style w:type="character" w:customStyle="1" w:styleId="111">
    <w:name w:val="正文文本缩进 字符"/>
    <w:basedOn w:val="24"/>
    <w:link w:val="10"/>
    <w:qFormat/>
    <w:uiPriority w:val="0"/>
    <w:rPr>
      <w:rFonts w:ascii="Times New Roman" w:hAnsi="Times New Roman"/>
      <w:kern w:val="2"/>
      <w:sz w:val="21"/>
      <w:szCs w:val="24"/>
    </w:rPr>
  </w:style>
  <w:style w:type="paragraph" w:customStyle="1" w:styleId="112">
    <w:name w:val="列表段落1"/>
    <w:basedOn w:val="1"/>
    <w:next w:val="61"/>
    <w:qFormat/>
    <w:uiPriority w:val="34"/>
    <w:pPr>
      <w:ind w:firstLine="420" w:firstLineChars="200"/>
    </w:pPr>
    <w:rPr>
      <w:rFonts w:asciiTheme="minorHAnsi" w:hAnsiTheme="minorHAnsi" w:eastAsiaTheme="minorEastAsia" w:cstheme="minorBidi"/>
      <w:bCs/>
      <w:sz w:val="21"/>
      <w:szCs w:val="21"/>
    </w:rPr>
  </w:style>
  <w:style w:type="character" w:customStyle="1" w:styleId="113">
    <w:name w:val="批注框文本 字符1"/>
    <w:basedOn w:val="24"/>
    <w:semiHidden/>
    <w:qFormat/>
    <w:uiPriority w:val="99"/>
    <w:rPr>
      <w:sz w:val="18"/>
      <w:szCs w:val="18"/>
    </w:rPr>
  </w:style>
  <w:style w:type="character" w:customStyle="1" w:styleId="114">
    <w:name w:val="页眉 字符1"/>
    <w:basedOn w:val="24"/>
    <w:qFormat/>
    <w:uiPriority w:val="99"/>
    <w:rPr>
      <w:sz w:val="18"/>
      <w:szCs w:val="18"/>
    </w:rPr>
  </w:style>
  <w:style w:type="character" w:customStyle="1" w:styleId="115">
    <w:name w:val="页脚 字符1"/>
    <w:basedOn w:val="24"/>
    <w:qFormat/>
    <w:uiPriority w:val="99"/>
    <w:rPr>
      <w:sz w:val="18"/>
      <w:szCs w:val="18"/>
    </w:rPr>
  </w:style>
  <w:style w:type="character" w:customStyle="1" w:styleId="116">
    <w:name w:val="swbf"/>
    <w:basedOn w:val="24"/>
    <w:qFormat/>
    <w:uiPriority w:val="0"/>
  </w:style>
  <w:style w:type="character" w:customStyle="1" w:styleId="117">
    <w:name w:val="ywyy"/>
    <w:basedOn w:val="24"/>
    <w:qFormat/>
    <w:uiPriority w:val="0"/>
  </w:style>
  <w:style w:type="character" w:customStyle="1" w:styleId="118">
    <w:name w:val="swdz"/>
    <w:basedOn w:val="24"/>
    <w:qFormat/>
    <w:uiPriority w:val="0"/>
  </w:style>
  <w:style w:type="character" w:customStyle="1" w:styleId="119">
    <w:name w:val="批注文字 字符"/>
    <w:basedOn w:val="24"/>
    <w:link w:val="8"/>
    <w:semiHidden/>
    <w:qFormat/>
    <w:uiPriority w:val="99"/>
    <w:rPr>
      <w:rFonts w:ascii="宋体" w:hAnsi="宋体" w:cs="宋体"/>
      <w:sz w:val="24"/>
      <w:szCs w:val="24"/>
    </w:rPr>
  </w:style>
  <w:style w:type="character" w:customStyle="1" w:styleId="120">
    <w:name w:val="批注主题 字符"/>
    <w:basedOn w:val="119"/>
    <w:link w:val="21"/>
    <w:semiHidden/>
    <w:qFormat/>
    <w:uiPriority w:val="99"/>
    <w:rPr>
      <w:rFonts w:ascii="宋体" w:hAnsi="宋体" w:cs="宋体"/>
      <w:b/>
      <w:bCs/>
      <w:sz w:val="24"/>
      <w:szCs w:val="24"/>
    </w:rPr>
  </w:style>
  <w:style w:type="character" w:customStyle="1" w:styleId="121">
    <w:name w:val="造字"/>
    <w:qFormat/>
    <w:uiPriority w:val="0"/>
    <w:rPr>
      <w:rFonts w:ascii="经典繁超宋" w:eastAsia="宋体-方正超大字符集"/>
      <w:sz w:val="32"/>
      <w:szCs w:val="52"/>
      <w:lang w:eastAsia="zh-CN"/>
    </w:rPr>
  </w:style>
  <w:style w:type="character" w:customStyle="1" w:styleId="122">
    <w:name w:val="未处理的提及11"/>
    <w:basedOn w:val="24"/>
    <w:semiHidden/>
    <w:unhideWhenUsed/>
    <w:qFormat/>
    <w:uiPriority w:val="99"/>
    <w:rPr>
      <w:color w:val="605E5C"/>
      <w:shd w:val="clear" w:color="auto" w:fill="E1DFDD"/>
    </w:rPr>
  </w:style>
  <w:style w:type="character" w:customStyle="1" w:styleId="123">
    <w:name w:val="标题 5 字符1"/>
    <w:basedOn w:val="24"/>
    <w:link w:val="6"/>
    <w:semiHidden/>
    <w:qFormat/>
    <w:uiPriority w:val="9"/>
    <w:rPr>
      <w:rFonts w:ascii="宋体" w:hAnsi="宋体" w:cs="宋体"/>
      <w:b/>
      <w:bCs/>
      <w:sz w:val="28"/>
      <w:szCs w:val="28"/>
    </w:rPr>
  </w:style>
  <w:style w:type="character" w:customStyle="1" w:styleId="124">
    <w:name w:val="反切"/>
    <w:qFormat/>
    <w:uiPriority w:val="0"/>
    <w:rPr>
      <w:rFonts w:ascii="宋体" w:hAnsi="宋体" w:eastAsia="宋体-方正超大字符集"/>
      <w:color w:val="800000"/>
      <w:sz w:val="15"/>
      <w:szCs w:val="15"/>
    </w:rPr>
  </w:style>
  <w:style w:type="character" w:customStyle="1" w:styleId="125">
    <w:name w:val="控呇湮佽恅苤蚼 红色"/>
    <w:qFormat/>
    <w:uiPriority w:val="0"/>
    <w:rPr>
      <w:rFonts w:ascii="控呇湮佽恅苤蚼" w:hAnsi="控呇湮佽恅苤蚼" w:eastAsia="控呇湮佽恅苤蚼"/>
      <w:color w:val="FF0000"/>
    </w:rPr>
  </w:style>
  <w:style w:type="character" w:customStyle="1" w:styleId="126">
    <w:name w:val="fieldname"/>
    <w:basedOn w:val="24"/>
    <w:qFormat/>
    <w:uiPriority w:val="0"/>
  </w:style>
  <w:style w:type="character" w:customStyle="1" w:styleId="127">
    <w:name w:val="fieldvalue"/>
    <w:basedOn w:val="24"/>
    <w:qFormat/>
    <w:uiPriority w:val="0"/>
  </w:style>
  <w:style w:type="character" w:customStyle="1" w:styleId="128">
    <w:name w:val="number"/>
    <w:qFormat/>
    <w:uiPriority w:val="0"/>
    <w:rPr>
      <w:color w:val="0033FF"/>
    </w:rPr>
  </w:style>
  <w:style w:type="character" w:customStyle="1" w:styleId="129">
    <w:name w:val="lzspan"/>
    <w:qFormat/>
    <w:uiPriority w:val="0"/>
  </w:style>
  <w:style w:type="character" w:customStyle="1" w:styleId="130">
    <w:name w:val="副标题 字符"/>
    <w:basedOn w:val="24"/>
    <w:link w:val="17"/>
    <w:qFormat/>
    <w:uiPriority w:val="11"/>
    <w:rPr>
      <w:rFonts w:ascii="Arial" w:hAnsi="Arial"/>
      <w:b/>
      <w:bCs/>
      <w:kern w:val="28"/>
      <w:sz w:val="24"/>
      <w:szCs w:val="32"/>
    </w:rPr>
  </w:style>
  <w:style w:type="paragraph" w:customStyle="1" w:styleId="131">
    <w:name w:val="論著"/>
    <w:basedOn w:val="61"/>
    <w:link w:val="132"/>
    <w:qFormat/>
    <w:uiPriority w:val="0"/>
    <w:pPr>
      <w:numPr>
        <w:ilvl w:val="0"/>
        <w:numId w:val="1"/>
      </w:numPr>
      <w:wordWrap w:val="0"/>
      <w:spacing w:line="360" w:lineRule="auto"/>
      <w:ind w:left="420" w:hanging="420" w:firstLineChars="0"/>
    </w:pPr>
    <w:rPr>
      <w:szCs w:val="28"/>
    </w:rPr>
  </w:style>
  <w:style w:type="character" w:customStyle="1" w:styleId="132">
    <w:name w:val="論著 字符"/>
    <w:basedOn w:val="24"/>
    <w:link w:val="131"/>
    <w:qFormat/>
    <w:uiPriority w:val="0"/>
    <w:rPr>
      <w:rFonts w:ascii="宋体" w:hAnsi="宋体"/>
      <w:kern w:val="2"/>
      <w:sz w:val="24"/>
      <w:szCs w:val="28"/>
    </w:rPr>
  </w:style>
  <w:style w:type="character" w:customStyle="1" w:styleId="133">
    <w:name w:val="ny_font_content"/>
    <w:basedOn w:val="24"/>
    <w:qFormat/>
    <w:uiPriority w:val="0"/>
  </w:style>
  <w:style w:type="character" w:customStyle="1" w:styleId="134">
    <w:name w:val="Unresolved Mention"/>
    <w:basedOn w:val="24"/>
    <w:semiHidden/>
    <w:unhideWhenUsed/>
    <w:qFormat/>
    <w:uiPriority w:val="99"/>
    <w:rPr>
      <w:color w:val="605E5C"/>
      <w:shd w:val="clear" w:color="auto" w:fill="E1DFDD"/>
    </w:rPr>
  </w:style>
  <w:style w:type="character" w:customStyle="1" w:styleId="135">
    <w:name w:val="zi21"/>
    <w:basedOn w:val="24"/>
    <w:qFormat/>
    <w:uiPriority w:val="0"/>
    <w:rPr>
      <w:rFonts w:hint="eastAsia" w:ascii="KaiXinSong" w:hAnsi="KaiXinSong" w:eastAsia="KaiXinSong"/>
    </w:rPr>
  </w:style>
  <w:style w:type="paragraph" w:customStyle="1" w:styleId="136">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table" w:customStyle="1" w:styleId="137">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8">
    <w:name w:val="title-tooltip"/>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endnotes" Target="end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C2666-F1E7-49F1-8454-8994EE929649}">
  <ds:schemaRefs/>
</ds:datastoreItem>
</file>

<file path=docProps/app.xml><?xml version="1.0" encoding="utf-8"?>
<Properties xmlns="http://schemas.openxmlformats.org/officeDocument/2006/extended-properties" xmlns:vt="http://schemas.openxmlformats.org/officeDocument/2006/docPropsVTypes">
  <Template>Normal</Template>
  <Company>GWZ</Company>
  <Pages>12</Pages>
  <Words>4577</Words>
  <Characters>4630</Characters>
  <Lines>44</Lines>
  <Paragraphs>12</Paragraphs>
  <TotalTime>11</TotalTime>
  <ScaleCrop>false</ScaleCrop>
  <LinksUpToDate>false</LinksUpToDate>
  <CharactersWithSpaces>4631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2018-01-27T09:07:00Z</dcterms:created>
  <dc:creator>gwz</dc:creator>
  <cp:lastModifiedBy>林琪竣</cp:lastModifiedBy>
  <dcterms:modified xsi:type="dcterms:W3CDTF">2025-11-11T13:41:43Z</dcterms:modified>
  <dc:subject>復旦大學出土文獻與古文字研究中心</dc:subject>
  <dc:title>復旦大學出土文獻與古文字研究中心</dc:title>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309ff620ad76616861290f234b7f9af256d5ee33649d63cb7ce801945e0e44d0</vt:lpwstr>
  </property>
  <property fmtid="{D5CDD505-2E9C-101B-9397-08002B2CF9AE}" pid="3" name="KSOTemplateDocerSaveRecord">
    <vt:lpwstr>eyJoZGlkIjoiMWQ0M2YzYWI1YTZmZGE0ZmQ4OGFkMDgzNGU5M2ViZTgiLCJ1c2VySWQiOiI2MjMxMzczODQifQ==</vt:lpwstr>
  </property>
  <property fmtid="{D5CDD505-2E9C-101B-9397-08002B2CF9AE}" pid="4" name="KSOProductBuildVer">
    <vt:lpwstr>2052-12.1.0.23542</vt:lpwstr>
  </property>
  <property fmtid="{D5CDD505-2E9C-101B-9397-08002B2CF9AE}" pid="5" name="ICV">
    <vt:lpwstr>998E54F0FE164FFCBCE59044F3776BC1_13</vt:lpwstr>
  </property>
</Properties>
</file>