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F4C962" w14:textId="75F579C0" w:rsidR="00F730D5" w:rsidRDefault="00857FBD" w:rsidP="003767B7">
      <w:pPr>
        <w:pStyle w:val="aff7"/>
        <w:rPr>
          <w:vertAlign w:val="superscript"/>
          <w:lang w:eastAsia="zh-TW" w:bidi="ar"/>
        </w:rPr>
      </w:pPr>
      <w:r w:rsidRPr="00857FBD">
        <w:rPr>
          <w:rFonts w:hint="eastAsia"/>
          <w:lang w:eastAsia="zh-TW"/>
        </w:rPr>
        <w:t>郭店竹書《唐虞之道》《性自命出》札記</w:t>
      </w:r>
      <w:r w:rsidR="00F730D5" w:rsidRPr="00857FBD">
        <w:rPr>
          <w:rFonts w:hint="eastAsia"/>
          <w:vertAlign w:val="superscript"/>
          <w:lang w:eastAsia="zh-TW" w:bidi="ar"/>
        </w:rPr>
        <w:endnoteReference w:customMarkFollows="1" w:id="1"/>
        <w:t>*</w:t>
      </w:r>
    </w:p>
    <w:p w14:paraId="48C8D253" w14:textId="77777777" w:rsidR="00F730D5" w:rsidRPr="00857FBD" w:rsidRDefault="00F730D5" w:rsidP="003767B7">
      <w:pPr>
        <w:pStyle w:val="aff7"/>
        <w:rPr>
          <w:rFonts w:hint="eastAsia"/>
          <w:lang w:eastAsia="zh-TW"/>
        </w:rPr>
      </w:pPr>
    </w:p>
    <w:p w14:paraId="21DE8F58" w14:textId="77777777" w:rsidR="00F730D5" w:rsidRPr="00857FBD" w:rsidRDefault="00F730D5" w:rsidP="003767B7">
      <w:pPr>
        <w:pStyle w:val="aff8"/>
        <w:rPr>
          <w:rFonts w:hint="eastAsia"/>
        </w:rPr>
      </w:pPr>
      <w:r w:rsidRPr="00857FBD">
        <w:rPr>
          <w:rFonts w:hint="eastAsia"/>
        </w:rPr>
        <w:t>任龍龍</w:t>
      </w:r>
    </w:p>
    <w:p w14:paraId="722DD52B" w14:textId="77777777" w:rsidR="00F730D5" w:rsidRPr="00857FBD" w:rsidRDefault="00F730D5" w:rsidP="003767B7">
      <w:pPr>
        <w:pStyle w:val="aff6"/>
        <w:ind w:firstLine="560"/>
        <w:rPr>
          <w:rFonts w:eastAsia="PMingLiU" w:hint="eastAsia"/>
          <w:szCs w:val="24"/>
          <w:lang w:eastAsia="zh-TW"/>
        </w:rPr>
      </w:pPr>
      <w:r w:rsidRPr="00857FBD">
        <w:rPr>
          <w:rFonts w:ascii="黑体" w:eastAsia="黑体" w:hAnsi="黑体" w:hint="eastAsia"/>
          <w:szCs w:val="24"/>
          <w:lang w:eastAsia="zh-TW"/>
        </w:rPr>
        <w:t>摘  要</w:t>
      </w:r>
      <w:r w:rsidRPr="00857FBD">
        <w:rPr>
          <w:rFonts w:hint="eastAsia"/>
          <w:szCs w:val="24"/>
          <w:lang w:eastAsia="zh-TW"/>
        </w:rPr>
        <w:t>：</w:t>
      </w:r>
      <w:bookmarkStart w:id="0" w:name="_Hlk211377309"/>
      <w:r w:rsidRPr="00857FBD">
        <w:rPr>
          <w:rFonts w:ascii="仿宋" w:eastAsia="仿宋" w:hAnsi="仿宋" w:hint="eastAsia"/>
          <w:szCs w:val="24"/>
          <w:lang w:eastAsia="zh-TW"/>
        </w:rPr>
        <w:t>《唐虞之道》“躳仁矣”之“躳”從文意看不當釋“窮”，原為“躬身”合文的可能性不能排除，“仁”作謂語。“安命而弗宎”之“宎”非夭死義，當讀為“殀”，訓為傷，賓語非身體，而是性命，亦即本性。“卒王天下而不矣”之“矣”應讀為“怠”，與“驕”相對。《性自命出》“物亡不其”之“其”如字讀，意思相當於“斯”。“剛之柱也，剛取之也；柔之約也，柔取之也”意為剛性事物的挺直是剛性事物自身選擇的，柔性事物的捲曲也是柔性事物自身選擇的。“求其心”當指學者求自己之心。“內巤”應讀為“內業”，《語叢三》“</w:t>
      </w:r>
      <w:r w:rsidRPr="00857FBD">
        <w:rPr>
          <w:rFonts w:ascii="仿宋" w:eastAsia="仿宋" w:hAnsi="仿宋"/>
          <w:noProof/>
          <w:szCs w:val="24"/>
        </w:rPr>
        <w:drawing>
          <wp:inline distT="0" distB="0" distL="0" distR="0" wp14:anchorId="40462946" wp14:editId="5EAA2617">
            <wp:extent cx="130810" cy="136525"/>
            <wp:effectExtent l="0" t="0" r="0" b="0"/>
            <wp:docPr id="5803562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35625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053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FBD">
        <w:rPr>
          <w:rFonts w:ascii="仿宋" w:eastAsia="仿宋" w:hAnsi="仿宋" w:hint="eastAsia"/>
          <w:szCs w:val="24"/>
          <w:lang w:eastAsia="zh-TW"/>
        </w:rPr>
        <w:t>習”讀為“業習”，二者可以互證。</w:t>
      </w:r>
      <w:bookmarkEnd w:id="0"/>
    </w:p>
    <w:p w14:paraId="6357C748" w14:textId="77777777" w:rsidR="00F730D5" w:rsidRPr="00857FBD" w:rsidRDefault="00F730D5" w:rsidP="003767B7">
      <w:pPr>
        <w:pStyle w:val="aff6"/>
        <w:ind w:firstLine="560"/>
        <w:rPr>
          <w:rFonts w:hint="eastAsia"/>
          <w:szCs w:val="24"/>
          <w:lang w:eastAsia="zh-TW"/>
        </w:rPr>
      </w:pPr>
      <w:r w:rsidRPr="00857FBD">
        <w:rPr>
          <w:rFonts w:ascii="黑体" w:eastAsia="黑体" w:hAnsi="黑体" w:hint="eastAsia"/>
          <w:szCs w:val="24"/>
          <w:lang w:eastAsia="zh-TW"/>
        </w:rPr>
        <w:t>關鍵詞</w:t>
      </w:r>
      <w:r w:rsidRPr="00857FBD">
        <w:rPr>
          <w:rFonts w:hint="eastAsia"/>
          <w:szCs w:val="24"/>
          <w:lang w:eastAsia="zh-TW"/>
        </w:rPr>
        <w:t>：</w:t>
      </w:r>
      <w:r w:rsidRPr="00857FBD">
        <w:rPr>
          <w:rFonts w:ascii="仿宋" w:eastAsia="仿宋" w:hAnsi="仿宋" w:hint="eastAsia"/>
          <w:szCs w:val="24"/>
          <w:lang w:eastAsia="zh-TW"/>
        </w:rPr>
        <w:t>郭店簡；《唐虞之道》；《性自命出》</w:t>
      </w:r>
    </w:p>
    <w:p w14:paraId="39850E51" w14:textId="77777777" w:rsidR="00F730D5" w:rsidRPr="003767B7" w:rsidRDefault="00F730D5" w:rsidP="003767B7">
      <w:pPr>
        <w:pStyle w:val="aff6"/>
        <w:ind w:firstLine="562"/>
        <w:rPr>
          <w:rFonts w:hint="eastAsia"/>
          <w:b/>
          <w:bCs/>
          <w:szCs w:val="24"/>
          <w:lang w:eastAsia="zh-TW"/>
        </w:rPr>
      </w:pPr>
    </w:p>
    <w:p w14:paraId="40830840" w14:textId="77777777" w:rsidR="00F730D5" w:rsidRPr="003767B7" w:rsidRDefault="00F730D5" w:rsidP="003767B7">
      <w:pPr>
        <w:pStyle w:val="aff6"/>
        <w:ind w:firstLine="562"/>
        <w:jc w:val="center"/>
        <w:rPr>
          <w:rFonts w:hint="eastAsia"/>
          <w:b/>
          <w:bCs/>
          <w:szCs w:val="24"/>
          <w:lang w:eastAsia="zh-TW"/>
        </w:rPr>
      </w:pPr>
      <w:r w:rsidRPr="003767B7">
        <w:rPr>
          <w:rFonts w:hint="eastAsia"/>
          <w:b/>
          <w:bCs/>
          <w:szCs w:val="24"/>
          <w:lang w:eastAsia="zh-TW"/>
        </w:rPr>
        <w:t>《唐虞之道》</w:t>
      </w:r>
    </w:p>
    <w:p w14:paraId="7DE05C62" w14:textId="4B7942BD" w:rsidR="00F730D5" w:rsidRPr="003767B7" w:rsidRDefault="00F730D5" w:rsidP="003767B7">
      <w:pPr>
        <w:pStyle w:val="aff6"/>
        <w:ind w:firstLine="562"/>
        <w:jc w:val="center"/>
        <w:rPr>
          <w:rFonts w:hint="eastAsia"/>
          <w:b/>
          <w:bCs/>
          <w:szCs w:val="24"/>
          <w:lang w:eastAsia="zh-TW"/>
        </w:rPr>
      </w:pPr>
      <w:r w:rsidRPr="003767B7">
        <w:rPr>
          <w:rFonts w:hint="eastAsia"/>
          <w:b/>
          <w:bCs/>
          <w:szCs w:val="24"/>
          <w:lang w:eastAsia="zh-TW"/>
        </w:rPr>
        <w:t>一、</w:t>
      </w:r>
      <w:r w:rsidRPr="003767B7">
        <w:rPr>
          <w:rFonts w:hint="eastAsia"/>
          <w:b/>
          <w:bCs/>
          <w:szCs w:val="24"/>
          <w:lang w:eastAsia="zh-TW"/>
        </w:rPr>
        <w:t>躳</w:t>
      </w:r>
    </w:p>
    <w:p w14:paraId="23451357" w14:textId="77777777" w:rsidR="00F730D5" w:rsidRPr="00857FBD" w:rsidRDefault="00F730D5" w:rsidP="003767B7">
      <w:pPr>
        <w:pStyle w:val="aff6"/>
        <w:ind w:firstLine="560"/>
        <w:rPr>
          <w:rFonts w:hint="eastAsia"/>
          <w:kern w:val="0"/>
          <w:szCs w:val="24"/>
          <w:lang w:eastAsia="zh-TW"/>
        </w:rPr>
      </w:pPr>
      <w:r w:rsidRPr="00857FBD">
        <w:rPr>
          <w:rFonts w:hint="eastAsia"/>
          <w:kern w:val="0"/>
          <w:szCs w:val="24"/>
          <w:lang w:eastAsia="zh-TW"/>
        </w:rPr>
        <w:t>簡2</w:t>
      </w:r>
      <w:r w:rsidRPr="00857FBD">
        <w:rPr>
          <w:rFonts w:hint="eastAsia"/>
          <w:kern w:val="0"/>
          <w:szCs w:val="24"/>
        </w:rPr>
        <w:t>+3</w:t>
      </w:r>
      <w:r w:rsidRPr="00857FBD">
        <w:rPr>
          <w:rFonts w:hint="eastAsia"/>
          <w:kern w:val="0"/>
          <w:szCs w:val="24"/>
          <w:lang w:eastAsia="zh-TW"/>
        </w:rPr>
        <w:t>：</w:t>
      </w:r>
    </w:p>
    <w:p w14:paraId="2C03AE46" w14:textId="77777777" w:rsidR="00F730D5" w:rsidRPr="00857FBD" w:rsidRDefault="00F730D5" w:rsidP="003767B7">
      <w:pPr>
        <w:pStyle w:val="aff4"/>
        <w:spacing w:before="540" w:after="540"/>
        <w:ind w:firstLine="496"/>
        <w:rPr>
          <w:rFonts w:hint="eastAsia"/>
        </w:rPr>
      </w:pPr>
      <w:r w:rsidRPr="00857FBD">
        <w:rPr>
          <w:rFonts w:hint="eastAsia"/>
        </w:rPr>
        <w:lastRenderedPageBreak/>
        <w:t>古昔賢仁聖者如此，躳</w:t>
      </w:r>
      <w:r w:rsidRPr="00857FBD">
        <w:rPr>
          <w:rFonts w:hint="eastAsia"/>
          <w:sz w:val="36"/>
          <w:szCs w:val="36"/>
          <w:vertAlign w:val="subscript"/>
        </w:rPr>
        <w:t>=</w:t>
      </w:r>
      <w:r w:rsidRPr="00857FBD">
        <w:rPr>
          <w:rFonts w:hint="eastAsia"/>
        </w:rPr>
        <w:t>（</w:t>
      </w:r>
      <w:bookmarkStart w:id="1" w:name="_Hlk211351006"/>
      <w:r w:rsidRPr="00857FBD">
        <w:rPr>
          <w:rFonts w:hint="eastAsia"/>
        </w:rPr>
        <w:t>躳身）不</w:t>
      </w:r>
      <w:r w:rsidRPr="00857FBD">
        <w:rPr>
          <w:noProof/>
          <w:sz w:val="21"/>
        </w:rPr>
        <w:drawing>
          <wp:inline distT="0" distB="0" distL="0" distR="0" wp14:anchorId="40841B05" wp14:editId="270D606A">
            <wp:extent cx="142875" cy="151130"/>
            <wp:effectExtent l="0" t="0" r="0" b="0"/>
            <wp:docPr id="936079434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FBD">
        <w:rPr>
          <w:rFonts w:hint="eastAsia"/>
        </w:rPr>
        <w:t>（徇）</w:t>
      </w:r>
      <w:r w:rsidRPr="00857FBD">
        <w:rPr>
          <w:rFonts w:hint="eastAsia"/>
          <w:vertAlign w:val="superscript"/>
        </w:rPr>
        <w:endnoteReference w:id="2"/>
      </w:r>
      <w:r w:rsidRPr="00857FBD">
        <w:rPr>
          <w:rFonts w:hint="eastAsia"/>
        </w:rPr>
        <w:t>，</w:t>
      </w:r>
      <w:r w:rsidRPr="00857FBD">
        <w:rPr>
          <w:rFonts w:cs="宋体"/>
          <w:noProof/>
          <w:sz w:val="21"/>
          <w:szCs w:val="21"/>
        </w:rPr>
        <w:drawing>
          <wp:inline distT="0" distB="0" distL="0" distR="0" wp14:anchorId="473894EE" wp14:editId="60B640CE">
            <wp:extent cx="145829" cy="144000"/>
            <wp:effectExtent l="0" t="0" r="0" b="0"/>
            <wp:docPr id="18705943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59431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5829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FBD">
        <w:rPr>
          <w:rFonts w:hint="eastAsia"/>
        </w:rPr>
        <w:t>（沒）【2】而弗利，</w:t>
      </w:r>
      <w:r w:rsidRPr="00857FBD">
        <w:rPr>
          <w:rFonts w:hint="eastAsia"/>
          <w:u w:val="single"/>
        </w:rPr>
        <w:t>躳</w:t>
      </w:r>
      <w:r w:rsidRPr="00857FBD">
        <w:rPr>
          <w:rFonts w:hint="eastAsia"/>
        </w:rPr>
        <w:t>仁歖（</w:t>
      </w:r>
      <w:bookmarkStart w:id="2" w:name="_Hlk211366434"/>
      <w:r w:rsidRPr="00857FBD">
        <w:rPr>
          <w:rFonts w:hint="eastAsia"/>
        </w:rPr>
        <w:t>矣</w:t>
      </w:r>
      <w:bookmarkEnd w:id="1"/>
      <w:bookmarkEnd w:id="2"/>
      <w:r w:rsidRPr="00857FBD">
        <w:rPr>
          <w:rFonts w:hint="eastAsia"/>
        </w:rPr>
        <w:t>）。必正其身，然後正世，聖道備歖（矣），故湯（唐）吳（虞）之□□【3】</w:t>
      </w:r>
    </w:p>
    <w:p w14:paraId="244179B7" w14:textId="77777777" w:rsidR="00F730D5" w:rsidRPr="00857FBD" w:rsidRDefault="00F730D5" w:rsidP="003767B7">
      <w:pPr>
        <w:pStyle w:val="aff6"/>
        <w:ind w:firstLine="560"/>
        <w:rPr>
          <w:rFonts w:hint="eastAsia"/>
          <w:szCs w:val="24"/>
          <w:lang w:eastAsia="zh-TW"/>
        </w:rPr>
      </w:pPr>
      <w:r w:rsidRPr="00857FBD">
        <w:rPr>
          <w:rFonts w:hint="eastAsia"/>
          <w:szCs w:val="24"/>
          <w:lang w:eastAsia="zh-TW"/>
        </w:rPr>
        <w:t>簡3“躳仁”之“躳”原字形作</w:t>
      </w:r>
      <w:r w:rsidRPr="00857FBD">
        <w:rPr>
          <w:noProof/>
          <w:sz w:val="21"/>
        </w:rPr>
        <w:drawing>
          <wp:inline distT="0" distB="0" distL="0" distR="0" wp14:anchorId="4AE11094" wp14:editId="3745CD44">
            <wp:extent cx="167005" cy="365760"/>
            <wp:effectExtent l="0" t="0" r="0" b="0"/>
            <wp:docPr id="1880512245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FBD">
        <w:rPr>
          <w:rFonts w:hint="eastAsia"/>
          <w:szCs w:val="24"/>
          <w:lang w:eastAsia="zh-TW"/>
        </w:rPr>
        <w:t>，整理者釋“窮”，全句讀為“沒而弗利，窮（躬）仁矣”，裘按認為“窮（躬）”屬上讀。白於藍從裘說，讀為“沒而弗利窮（躬），仁矣”。李銳、王晉卿釋“窮”，讀為“窮仁”。</w:t>
      </w:r>
      <w:bookmarkStart w:id="3" w:name="_Hlk211369064"/>
      <w:r w:rsidRPr="00857FBD">
        <w:rPr>
          <w:rFonts w:hint="eastAsia"/>
          <w:szCs w:val="24"/>
          <w:lang w:eastAsia="zh-TW"/>
        </w:rPr>
        <w:t>黃傑、鄭怡寧</w:t>
      </w:r>
      <w:bookmarkEnd w:id="3"/>
      <w:r w:rsidRPr="00857FBD">
        <w:rPr>
          <w:rFonts w:hint="eastAsia"/>
          <w:szCs w:val="24"/>
          <w:lang w:eastAsia="zh-TW"/>
        </w:rPr>
        <w:t>亦釋“窮”，將此句讀為“身窮不</w:t>
      </w:r>
      <w:r w:rsidRPr="00857FBD">
        <w:rPr>
          <w:noProof/>
          <w:szCs w:val="24"/>
        </w:rPr>
        <w:drawing>
          <wp:inline distT="0" distB="0" distL="0" distR="0" wp14:anchorId="0BE078D5" wp14:editId="3D882FA9">
            <wp:extent cx="142875" cy="151130"/>
            <wp:effectExtent l="0" t="0" r="0" b="0"/>
            <wp:docPr id="1620580391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FBD">
        <w:rPr>
          <w:rFonts w:hint="eastAsia"/>
          <w:szCs w:val="24"/>
          <w:lang w:eastAsia="zh-TW"/>
        </w:rPr>
        <w:t>（營），沒而弗利，窮仁矣。”</w:t>
      </w:r>
      <w:r w:rsidRPr="00857FBD">
        <w:rPr>
          <w:rFonts w:hint="eastAsia"/>
          <w:szCs w:val="24"/>
          <w:vertAlign w:val="superscript"/>
          <w:lang w:eastAsia="zh-TW"/>
        </w:rPr>
        <w:endnoteReference w:id="3"/>
      </w:r>
      <w:r w:rsidRPr="00857FBD">
        <w:rPr>
          <w:rFonts w:hint="eastAsia"/>
          <w:szCs w:val="24"/>
          <w:lang w:eastAsia="zh-TW"/>
        </w:rPr>
        <w:t>李銳早年曾認為本為“躳身”合文。</w:t>
      </w:r>
      <w:r w:rsidRPr="00857FBD">
        <w:rPr>
          <w:rFonts w:hint="eastAsia"/>
          <w:szCs w:val="24"/>
          <w:vertAlign w:val="superscript"/>
          <w:lang w:eastAsia="zh-TW"/>
        </w:rPr>
        <w:endnoteReference w:id="4"/>
      </w:r>
    </w:p>
    <w:p w14:paraId="7EE7237D" w14:textId="77777777" w:rsidR="00F730D5" w:rsidRPr="00857FBD" w:rsidRDefault="00F730D5" w:rsidP="003767B7">
      <w:pPr>
        <w:pStyle w:val="aff6"/>
        <w:ind w:firstLine="560"/>
        <w:rPr>
          <w:rFonts w:hint="eastAsia"/>
          <w:szCs w:val="24"/>
          <w:lang w:eastAsia="zh-TW"/>
        </w:rPr>
      </w:pPr>
      <w:r w:rsidRPr="00857FBD">
        <w:rPr>
          <w:rFonts w:hint="eastAsia"/>
          <w:szCs w:val="24"/>
          <w:lang w:eastAsia="zh-TW"/>
        </w:rPr>
        <w:t>按：</w:t>
      </w:r>
      <w:r w:rsidRPr="00857FBD">
        <w:rPr>
          <w:rFonts w:hint="eastAsia"/>
          <w:kern w:val="0"/>
          <w:szCs w:val="24"/>
          <w:lang w:eastAsia="zh-TW"/>
        </w:rPr>
        <w:t>“弗利”與上文簡</w:t>
      </w:r>
      <w:r w:rsidRPr="00857FBD">
        <w:rPr>
          <w:rFonts w:hint="eastAsia"/>
          <w:szCs w:val="24"/>
          <w:lang w:eastAsia="zh-TW"/>
        </w:rPr>
        <w:t>2“</w:t>
      </w:r>
      <w:r w:rsidRPr="00857FBD">
        <w:rPr>
          <w:rFonts w:hint="eastAsia"/>
          <w:kern w:val="0"/>
          <w:szCs w:val="24"/>
          <w:lang w:eastAsia="zh-TW"/>
        </w:rPr>
        <w:t>利天下而弗利也，仁之至也”的“弗利”同，其後不當再加“躳”。從字形和用字習慣看，此字不能排除讀為“窮”或“躳”任意一種的可能性，</w:t>
      </w:r>
      <w:r w:rsidRPr="00857FBD">
        <w:rPr>
          <w:rFonts w:hint="eastAsia"/>
          <w:kern w:val="0"/>
          <w:sz w:val="18"/>
          <w:szCs w:val="24"/>
          <w:vertAlign w:val="superscript"/>
          <w:lang w:eastAsia="zh-TW"/>
        </w:rPr>
        <w:endnoteReference w:id="5"/>
      </w:r>
      <w:r w:rsidRPr="00857FBD">
        <w:rPr>
          <w:rFonts w:hint="eastAsia"/>
          <w:kern w:val="0"/>
          <w:szCs w:val="24"/>
          <w:lang w:eastAsia="zh-TW"/>
        </w:rPr>
        <w:t>下面看文意上是否有明確的信息。持釋“窮”意見者，未見對文意有詳細說明者，大概認為“身窮不徇”是說舜曾為下民，仍躳行仁道，“窮”似指身處窘境。“窮仁”之“窮”訓盡，指終身為仁。我們認為這種理解是不符合實際的。關於“營”，上引李銳早年之文曾將“</w:t>
      </w:r>
      <w:r w:rsidRPr="00857FBD">
        <w:rPr>
          <w:noProof/>
          <w:szCs w:val="24"/>
        </w:rPr>
        <w:drawing>
          <wp:inline distT="0" distB="0" distL="0" distR="0" wp14:anchorId="2C994DA6" wp14:editId="10449853">
            <wp:extent cx="142875" cy="151130"/>
            <wp:effectExtent l="0" t="0" r="0" b="0"/>
            <wp:docPr id="23677757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FBD">
        <w:rPr>
          <w:rFonts w:hint="eastAsia"/>
          <w:szCs w:val="24"/>
          <w:lang w:eastAsia="zh-TW"/>
        </w:rPr>
        <w:t>”讀為“徇”，求。考慮讀音和用字習慣，“徇”似比“營”合適。清華三《說命上》簡1“王命厥百工向，以貨旬（徇）求説于邑人。”“旬（徇）”，裘錫圭指</w:t>
      </w:r>
      <w:r w:rsidRPr="00857FBD">
        <w:rPr>
          <w:rFonts w:hint="eastAsia"/>
          <w:szCs w:val="24"/>
          <w:lang w:eastAsia="zh-TW"/>
        </w:rPr>
        <w:lastRenderedPageBreak/>
        <w:t>出“我傾向於將三種異文中的‘旬（徇）’，看作最接近或符合它們所源自的文本的一種。”他認為“‘營’既有可能是‘旬（徇）’的假借字，也有可能是由於有意或無意的誤讀而產生的音近義異的異文。實際情況也許是本為‘旬（徇）'的假借字，後人不知，遂按其字面進行解釋。”</w:t>
      </w:r>
      <w:r w:rsidRPr="00857FBD">
        <w:rPr>
          <w:rFonts w:hint="eastAsia"/>
          <w:sz w:val="18"/>
          <w:szCs w:val="24"/>
          <w:vertAlign w:val="superscript"/>
          <w:lang w:eastAsia="zh-TW"/>
        </w:rPr>
        <w:endnoteReference w:id="6"/>
      </w:r>
      <w:r w:rsidRPr="00857FBD">
        <w:rPr>
          <w:rFonts w:hint="eastAsia"/>
          <w:szCs w:val="24"/>
          <w:lang w:eastAsia="zh-TW"/>
        </w:rPr>
        <w:t>“音近”說恐值得商榷，其他意見無疑是正確的。</w:t>
      </w:r>
    </w:p>
    <w:p w14:paraId="04497397" w14:textId="77777777" w:rsidR="00F730D5" w:rsidRPr="00857FBD" w:rsidRDefault="00F730D5" w:rsidP="003767B7">
      <w:pPr>
        <w:pStyle w:val="aff6"/>
        <w:ind w:firstLine="560"/>
        <w:rPr>
          <w:rFonts w:hint="eastAsia"/>
          <w:szCs w:val="24"/>
          <w:lang w:eastAsia="zh-TW"/>
        </w:rPr>
      </w:pPr>
      <w:r w:rsidRPr="00857FBD">
        <w:rPr>
          <w:rFonts w:hint="eastAsia"/>
          <w:szCs w:val="24"/>
          <w:lang w:eastAsia="zh-TW"/>
        </w:rPr>
        <w:t>從文意看，我們認為整理者讀“躳”的意見是正確的，簡2</w:t>
      </w:r>
      <w:r w:rsidRPr="00857FBD">
        <w:rPr>
          <w:noProof/>
          <w:szCs w:val="24"/>
        </w:rPr>
        <w:drawing>
          <wp:inline distT="0" distB="0" distL="0" distR="0" wp14:anchorId="3294526A" wp14:editId="7F2A7110">
            <wp:extent cx="198755" cy="365760"/>
            <wp:effectExtent l="0" t="0" r="0" b="0"/>
            <wp:docPr id="1370107512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FBD">
        <w:rPr>
          <w:rFonts w:hint="eastAsia"/>
          <w:szCs w:val="24"/>
          <w:lang w:eastAsia="zh-TW"/>
        </w:rPr>
        <w:t>“躳身”，整理者釋為“身窮”，上引黃傑、鄭怡寧文從之，李守奎《楚文字編》釋為“躳身”合文，</w:t>
      </w:r>
      <w:r w:rsidRPr="00857FBD">
        <w:rPr>
          <w:rFonts w:hint="eastAsia"/>
          <w:szCs w:val="24"/>
          <w:vertAlign w:val="superscript"/>
          <w:lang w:eastAsia="zh-TW"/>
        </w:rPr>
        <w:endnoteReference w:id="7"/>
      </w:r>
      <w:r w:rsidRPr="00857FBD">
        <w:rPr>
          <w:rFonts w:hint="eastAsia"/>
          <w:szCs w:val="24"/>
          <w:lang w:eastAsia="zh-TW"/>
        </w:rPr>
        <w:t>李說甚是，但他將簡3此字釋“窮”（466頁），則不可信。對比簡2、簡3兩處從宀從躳之字及文例，我們另懷疑簡3可能省略或者脫去了合文符號。</w:t>
      </w:r>
      <w:r w:rsidRPr="00857FBD">
        <w:rPr>
          <w:rFonts w:hint="eastAsia"/>
          <w:szCs w:val="24"/>
          <w:vertAlign w:val="superscript"/>
          <w:lang w:eastAsia="zh-TW"/>
        </w:rPr>
        <w:endnoteReference w:id="8"/>
      </w:r>
      <w:r w:rsidRPr="00857FBD">
        <w:rPr>
          <w:rFonts w:hint="eastAsia"/>
          <w:szCs w:val="24"/>
          <w:lang w:eastAsia="zh-TW"/>
        </w:rPr>
        <w:t>“躳仁矣”或“躳身仁矣”之“仁”作謂語，是對躬身的評價，意謂終身不以天下為個人私利，是為仁了。下文接著說“必正其身，然後正世”，言正身然後正世，恰是對聖賢不求私利、正身行仁的闡發。簡文意在強調正身，而非論賢聖君主出身之窮困。本篇宣揚禪讓制，理論根據就是聖君能夠身正以引導天下，簡文作“躬身”顯然要比“窮”合適。</w:t>
      </w:r>
    </w:p>
    <w:p w14:paraId="10E42107" w14:textId="2E56CD69" w:rsidR="00F730D5" w:rsidRPr="003767B7" w:rsidRDefault="00F730D5" w:rsidP="003767B7">
      <w:pPr>
        <w:pStyle w:val="aff6"/>
        <w:ind w:firstLine="562"/>
        <w:jc w:val="center"/>
        <w:rPr>
          <w:rFonts w:hint="eastAsia"/>
          <w:b/>
          <w:bCs/>
          <w:szCs w:val="24"/>
          <w:lang w:eastAsia="zh-TW"/>
        </w:rPr>
      </w:pPr>
      <w:r w:rsidRPr="003767B7">
        <w:rPr>
          <w:rFonts w:hint="eastAsia"/>
          <w:b/>
          <w:bCs/>
          <w:szCs w:val="24"/>
          <w:lang w:eastAsia="zh-TW"/>
        </w:rPr>
        <w:t>二、</w:t>
      </w:r>
      <w:r w:rsidRPr="003767B7">
        <w:rPr>
          <w:rFonts w:hint="eastAsia"/>
          <w:b/>
          <w:bCs/>
          <w:szCs w:val="24"/>
          <w:lang w:eastAsia="zh-TW"/>
        </w:rPr>
        <w:t>安命而弗殀</w:t>
      </w:r>
    </w:p>
    <w:p w14:paraId="1AD3D3B9" w14:textId="77777777" w:rsidR="00F730D5" w:rsidRPr="00857FBD" w:rsidRDefault="00F730D5" w:rsidP="003767B7">
      <w:pPr>
        <w:pStyle w:val="aff6"/>
        <w:ind w:firstLine="560"/>
        <w:rPr>
          <w:rFonts w:hint="eastAsia"/>
          <w:kern w:val="0"/>
          <w:szCs w:val="24"/>
        </w:rPr>
      </w:pPr>
      <w:r w:rsidRPr="00857FBD">
        <w:rPr>
          <w:rFonts w:hint="eastAsia"/>
          <w:kern w:val="0"/>
          <w:szCs w:val="24"/>
          <w:lang w:eastAsia="zh-TW"/>
        </w:rPr>
        <w:t>簡</w:t>
      </w:r>
      <w:r w:rsidRPr="00857FBD">
        <w:rPr>
          <w:rFonts w:hint="eastAsia"/>
          <w:kern w:val="0"/>
          <w:szCs w:val="24"/>
        </w:rPr>
        <w:t>11+22：</w:t>
      </w:r>
    </w:p>
    <w:p w14:paraId="4B6E334D" w14:textId="77777777" w:rsidR="00F730D5" w:rsidRPr="00857FBD" w:rsidRDefault="00F730D5" w:rsidP="003767B7">
      <w:pPr>
        <w:pStyle w:val="aff4"/>
        <w:spacing w:before="540" w:after="540"/>
        <w:ind w:firstLine="496"/>
        <w:rPr>
          <w:rFonts w:hint="eastAsia"/>
        </w:rPr>
      </w:pPr>
      <w:r w:rsidRPr="00857FBD">
        <w:rPr>
          <w:rFonts w:hint="eastAsia"/>
        </w:rPr>
        <w:lastRenderedPageBreak/>
        <w:t>即（節）乎脂（肌）膚血</w:t>
      </w:r>
      <w:r w:rsidRPr="00857FBD">
        <w:rPr>
          <w:noProof/>
          <w:sz w:val="21"/>
        </w:rPr>
        <w:drawing>
          <wp:inline distT="0" distB="0" distL="0" distR="0" wp14:anchorId="1A407ABC" wp14:editId="36B144F5">
            <wp:extent cx="142875" cy="151130"/>
            <wp:effectExtent l="0" t="0" r="0" b="0"/>
            <wp:docPr id="67342843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FBD">
        <w:rPr>
          <w:rFonts w:hint="eastAsia"/>
        </w:rPr>
        <w:t>（氣）之青（情），養性命之正，安命而弗</w:t>
      </w:r>
      <w:r w:rsidRPr="00857FBD">
        <w:rPr>
          <w:rFonts w:hint="eastAsia"/>
          <w:u w:val="single"/>
        </w:rPr>
        <w:t>宎（殀）</w:t>
      </w:r>
      <w:r w:rsidRPr="00857FBD">
        <w:rPr>
          <w:rFonts w:hint="eastAsia"/>
        </w:rPr>
        <w:t>，養生（性）而弗傷，智（知）□□【11】之正者，能以天下禪歖（矣）。</w:t>
      </w:r>
    </w:p>
    <w:p w14:paraId="5DB2FBAB" w14:textId="77777777" w:rsidR="00F730D5" w:rsidRPr="00857FBD" w:rsidRDefault="00F730D5" w:rsidP="003767B7">
      <w:pPr>
        <w:pStyle w:val="aff6"/>
        <w:ind w:firstLine="560"/>
        <w:rPr>
          <w:rFonts w:hint="eastAsia"/>
          <w:szCs w:val="24"/>
          <w:lang w:eastAsia="zh-TW"/>
        </w:rPr>
      </w:pPr>
      <w:r w:rsidRPr="00857FBD">
        <w:rPr>
          <w:rFonts w:hint="eastAsia"/>
          <w:szCs w:val="24"/>
          <w:lang w:eastAsia="zh-TW"/>
        </w:rPr>
        <w:t>“宎”，整理者讀為“夭”，引《釋名·釋喪制》“少壯而死曰夭。”即短折，早死之意，研究者多無異議。</w:t>
      </w:r>
      <w:r w:rsidRPr="00857FBD">
        <w:rPr>
          <w:rFonts w:hint="eastAsia"/>
          <w:szCs w:val="24"/>
          <w:vertAlign w:val="superscript"/>
          <w:lang w:eastAsia="zh-TW"/>
        </w:rPr>
        <w:endnoteReference w:id="9"/>
      </w:r>
      <w:r w:rsidRPr="00857FBD">
        <w:rPr>
          <w:rFonts w:hint="eastAsia"/>
          <w:szCs w:val="24"/>
          <w:lang w:eastAsia="zh-TW"/>
        </w:rPr>
        <w:t>按：此說恐非。“養生”之“</w:t>
      </w:r>
      <w:r w:rsidRPr="00857FBD">
        <w:rPr>
          <w:rFonts w:hint="eastAsia"/>
          <w:kern w:val="0"/>
          <w:szCs w:val="24"/>
          <w:lang w:eastAsia="zh-TW"/>
        </w:rPr>
        <w:t>生”</w:t>
      </w:r>
      <w:r w:rsidRPr="00857FBD">
        <w:rPr>
          <w:rFonts w:ascii="仿宋" w:eastAsia="仿宋" w:hAnsi="仿宋" w:hint="eastAsia"/>
          <w:kern w:val="0"/>
          <w:szCs w:val="24"/>
          <w:lang w:eastAsia="zh-TW"/>
        </w:rPr>
        <w:t>，</w:t>
      </w:r>
      <w:r w:rsidRPr="00857FBD">
        <w:rPr>
          <w:rFonts w:hint="eastAsia"/>
          <w:szCs w:val="24"/>
          <w:lang w:eastAsia="zh-TW"/>
        </w:rPr>
        <w:t>整理者讀“生”，《楚地》從之，林志鵬讀為“性”。</w:t>
      </w:r>
      <w:r w:rsidRPr="00857FBD">
        <w:rPr>
          <w:rFonts w:hint="eastAsia"/>
          <w:szCs w:val="24"/>
          <w:vertAlign w:val="superscript"/>
          <w:lang w:eastAsia="zh-TW"/>
        </w:rPr>
        <w:endnoteReference w:id="10"/>
      </w:r>
      <w:r w:rsidRPr="00857FBD">
        <w:rPr>
          <w:rFonts w:hint="eastAsia"/>
          <w:szCs w:val="24"/>
          <w:lang w:eastAsia="zh-TW"/>
        </w:rPr>
        <w:t>我們認為林說是正確的。“養性”“安命”即前句所說“養性命之正”。“性”“命”與“肌膚血氣之情”的“情”關係密切，郭店簡另有《性自命出》篇，上博簡同文作《性情論》。古書有“安命養性”，《韓詩外傳》卷一：“安命養性者，不待積委而富。”由此看來，本篇當是儒家講養性命之正的話，不會似道家口氣講“養生”。“夭”的賓語是性命，而非身體，因此絕不能理解為早死。我們認為當讀為“殀”，訓為傷害。《釋名·釋天》：“殀，害物也。”《大戴禮記·用兵》：“殀傷厥身，失墜天下，夫天下之報殃於無德者也。”“殀傷”同義連用。簡文意謂不要傷害性命之正，要好好護養。儒家對人的本性極為重視，本性之正就是孟子主張的性善之善，回到簡文，就是指“仁義”。</w:t>
      </w:r>
    </w:p>
    <w:p w14:paraId="366DC223" w14:textId="78B6BBA6" w:rsidR="00F730D5" w:rsidRPr="003767B7" w:rsidRDefault="00F730D5" w:rsidP="003767B7">
      <w:pPr>
        <w:pStyle w:val="aff6"/>
        <w:ind w:firstLine="562"/>
        <w:jc w:val="center"/>
        <w:rPr>
          <w:rFonts w:hint="eastAsia"/>
          <w:b/>
          <w:bCs/>
          <w:szCs w:val="24"/>
          <w:lang w:eastAsia="zh-TW"/>
        </w:rPr>
      </w:pPr>
      <w:bookmarkStart w:id="5" w:name="_Hlk195887882"/>
      <w:r w:rsidRPr="003767B7">
        <w:rPr>
          <w:rFonts w:hint="eastAsia"/>
          <w:b/>
          <w:bCs/>
          <w:szCs w:val="24"/>
          <w:lang w:eastAsia="zh-TW"/>
        </w:rPr>
        <w:lastRenderedPageBreak/>
        <w:t>三、</w:t>
      </w:r>
      <w:r w:rsidRPr="003767B7">
        <w:rPr>
          <w:rFonts w:hint="eastAsia"/>
          <w:b/>
          <w:bCs/>
          <w:szCs w:val="24"/>
          <w:lang w:eastAsia="zh-TW"/>
        </w:rPr>
        <w:t>卒王天下而不怠</w:t>
      </w:r>
    </w:p>
    <w:p w14:paraId="2BBD8B96" w14:textId="77777777" w:rsidR="00F730D5" w:rsidRPr="00857FBD" w:rsidRDefault="00F730D5" w:rsidP="003767B7">
      <w:pPr>
        <w:pStyle w:val="aff6"/>
        <w:ind w:firstLine="560"/>
        <w:rPr>
          <w:rFonts w:hint="eastAsia"/>
          <w:kern w:val="0"/>
          <w:szCs w:val="24"/>
          <w:lang w:eastAsia="zh-TW"/>
        </w:rPr>
      </w:pPr>
      <w:r w:rsidRPr="00857FBD">
        <w:rPr>
          <w:rFonts w:hint="eastAsia"/>
          <w:kern w:val="0"/>
          <w:szCs w:val="24"/>
          <w:lang w:eastAsia="zh-TW"/>
        </w:rPr>
        <w:t>簡15-19：</w:t>
      </w:r>
    </w:p>
    <w:p w14:paraId="21A0CF4A" w14:textId="77777777" w:rsidR="00F730D5" w:rsidRPr="00857FBD" w:rsidRDefault="00F730D5" w:rsidP="003767B7">
      <w:pPr>
        <w:pStyle w:val="aff4"/>
        <w:spacing w:before="540" w:after="540"/>
        <w:ind w:firstLine="496"/>
        <w:rPr>
          <w:rFonts w:hint="eastAsia"/>
        </w:rPr>
      </w:pPr>
      <w:r w:rsidRPr="00857FBD">
        <w:rPr>
          <w:rFonts w:hint="eastAsia"/>
        </w:rPr>
        <w:t>夫古者【15】舜佢（居）於草茅之中而不憂，升（登）為天子而不驕。</w:t>
      </w:r>
      <w:bookmarkEnd w:id="5"/>
      <w:r w:rsidRPr="00857FBD">
        <w:rPr>
          <w:rFonts w:hint="eastAsia"/>
        </w:rPr>
        <w:t>佢（居）草茅之中而不憂，知命【16】也，升（登）為天子而不驕，不</w:t>
      </w:r>
      <w:r w:rsidRPr="00857FBD">
        <w:rPr>
          <w:noProof/>
        </w:rPr>
        <w:drawing>
          <wp:inline distT="0" distB="0" distL="0" distR="0" wp14:anchorId="49AF297E" wp14:editId="5FD7B358">
            <wp:extent cx="142875" cy="142875"/>
            <wp:effectExtent l="0" t="0" r="0" b="0"/>
            <wp:docPr id="559771722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FBD">
        <w:rPr>
          <w:rFonts w:hint="eastAsia"/>
        </w:rPr>
        <w:t>（繼）</w:t>
      </w:r>
      <w:r w:rsidRPr="00857FBD">
        <w:rPr>
          <w:rFonts w:hint="eastAsia"/>
          <w:vertAlign w:val="superscript"/>
        </w:rPr>
        <w:endnoteReference w:id="11"/>
      </w:r>
      <w:r w:rsidRPr="00857FBD">
        <w:rPr>
          <w:rFonts w:hint="eastAsia"/>
        </w:rPr>
        <w:t>也。浗（求）乎大人之興，</w:t>
      </w:r>
      <w:r w:rsidRPr="00857FBD">
        <w:rPr>
          <w:noProof/>
          <w:sz w:val="21"/>
        </w:rPr>
        <w:drawing>
          <wp:inline distT="0" distB="0" distL="0" distR="0" wp14:anchorId="7108185F" wp14:editId="5E9BF9CF">
            <wp:extent cx="151130" cy="151130"/>
            <wp:effectExtent l="0" t="0" r="0" b="0"/>
            <wp:docPr id="462659879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FBD">
        <w:rPr>
          <w:rFonts w:hint="eastAsia"/>
        </w:rPr>
        <w:t>（美）也。今之弋於德者，未</w:t>
      </w:r>
      <w:bookmarkStart w:id="6" w:name="_Hlk196133527"/>
      <w:r w:rsidRPr="00857FBD">
        <w:rPr>
          <w:rFonts w:hint="eastAsia"/>
        </w:rPr>
        <w:t>【17】年不弋。</w:t>
      </w:r>
      <w:bookmarkEnd w:id="6"/>
      <w:r w:rsidRPr="00857FBD">
        <w:rPr>
          <w:rFonts w:hint="eastAsia"/>
        </w:rPr>
        <w:t>君民而不驕，卒王天下而不矣（怠）。方在下位，不以匹夫為【18】巠（輕）；及其有天下也，不以天下為重。</w:t>
      </w:r>
    </w:p>
    <w:p w14:paraId="313CFC89" w14:textId="77777777" w:rsidR="00F730D5" w:rsidRPr="00857FBD" w:rsidRDefault="00F730D5" w:rsidP="003767B7">
      <w:pPr>
        <w:pStyle w:val="aff6"/>
        <w:ind w:firstLine="560"/>
        <w:rPr>
          <w:rFonts w:hint="eastAsia"/>
          <w:szCs w:val="24"/>
          <w:lang w:eastAsia="zh-TW"/>
        </w:rPr>
      </w:pPr>
      <w:r w:rsidRPr="00857FBD">
        <w:rPr>
          <w:rFonts w:hint="eastAsia"/>
          <w:szCs w:val="24"/>
          <w:lang w:eastAsia="zh-TW"/>
        </w:rPr>
        <w:t>“卒王天下而不矣”之“</w:t>
      </w:r>
      <w:r w:rsidRPr="00857FBD">
        <w:rPr>
          <w:rFonts w:hint="eastAsia"/>
          <w:kern w:val="0"/>
          <w:szCs w:val="24"/>
          <w:lang w:eastAsia="zh-TW"/>
        </w:rPr>
        <w:t>矣”原字形作</w:t>
      </w:r>
      <w:r w:rsidRPr="00857FBD">
        <w:rPr>
          <w:noProof/>
          <w:sz w:val="21"/>
        </w:rPr>
        <w:drawing>
          <wp:inline distT="0" distB="0" distL="0" distR="0" wp14:anchorId="20CB596F" wp14:editId="3432CBFF">
            <wp:extent cx="191135" cy="357505"/>
            <wp:effectExtent l="0" t="0" r="0" b="0"/>
            <wp:docPr id="1943329183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FBD">
        <w:rPr>
          <w:rFonts w:hint="eastAsia"/>
          <w:szCs w:val="24"/>
          <w:lang w:eastAsia="zh-TW"/>
        </w:rPr>
        <w:t>，整理者釋“</w:t>
      </w:r>
      <w:r w:rsidRPr="00857FBD">
        <w:rPr>
          <w:rFonts w:hint="eastAsia"/>
          <w:kern w:val="0"/>
          <w:szCs w:val="24"/>
          <w:lang w:eastAsia="zh-TW"/>
        </w:rPr>
        <w:t>矣”，讀為“疑”。</w:t>
      </w:r>
      <w:r w:rsidRPr="00857FBD">
        <w:rPr>
          <w:rFonts w:hint="eastAsia"/>
          <w:sz w:val="18"/>
          <w:szCs w:val="24"/>
          <w:vertAlign w:val="superscript"/>
          <w:lang w:eastAsia="zh-TW"/>
        </w:rPr>
        <w:endnoteReference w:id="12"/>
      </w:r>
      <w:r w:rsidRPr="00857FBD">
        <w:rPr>
          <w:rFonts w:hint="eastAsia"/>
          <w:szCs w:val="24"/>
          <w:lang w:eastAsia="zh-TW"/>
        </w:rPr>
        <w:t>對照楚簡“矣”字</w:t>
      </w:r>
      <w:r w:rsidRPr="00857FBD">
        <w:rPr>
          <w:noProof/>
          <w:sz w:val="21"/>
        </w:rPr>
        <w:drawing>
          <wp:inline distT="0" distB="0" distL="0" distR="0" wp14:anchorId="1BC8B2DB" wp14:editId="7D823E64">
            <wp:extent cx="174625" cy="357505"/>
            <wp:effectExtent l="0" t="0" r="0" b="0"/>
            <wp:docPr id="1989331408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FBD">
        <w:rPr>
          <w:rFonts w:hint="eastAsia"/>
          <w:szCs w:val="24"/>
          <w:lang w:eastAsia="zh-TW"/>
        </w:rPr>
        <w:t>《語叢二》簡50</w:t>
      </w:r>
      <w:r w:rsidRPr="00857FBD">
        <w:rPr>
          <w:noProof/>
          <w:sz w:val="21"/>
        </w:rPr>
        <w:drawing>
          <wp:inline distT="0" distB="0" distL="0" distR="0" wp14:anchorId="08A0836F" wp14:editId="10DEEB9B">
            <wp:extent cx="214630" cy="357505"/>
            <wp:effectExtent l="0" t="0" r="0" b="0"/>
            <wp:docPr id="1247316442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FBD">
        <w:rPr>
          <w:rFonts w:hint="eastAsia"/>
          <w:szCs w:val="24"/>
          <w:lang w:eastAsia="zh-TW"/>
        </w:rPr>
        <w:t>《老子甲》簡11，整理者所釋無疑是正確的，但讀為“疑”則不可信。劉樂賢認為從文意看，讀“喜”比較合適，《楚地》從之。李銳、王晉卿讀為“俟”，待也，候也。</w:t>
      </w:r>
      <w:r w:rsidRPr="00857FBD">
        <w:rPr>
          <w:rFonts w:hint="eastAsia"/>
          <w:szCs w:val="24"/>
          <w:vertAlign w:val="superscript"/>
          <w:lang w:eastAsia="zh-TW"/>
        </w:rPr>
        <w:endnoteReference w:id="13"/>
      </w:r>
    </w:p>
    <w:p w14:paraId="0BB0E585" w14:textId="77777777" w:rsidR="00F730D5" w:rsidRPr="00857FBD" w:rsidRDefault="00F730D5" w:rsidP="003767B7">
      <w:pPr>
        <w:pStyle w:val="aff6"/>
        <w:ind w:firstLine="560"/>
        <w:rPr>
          <w:rFonts w:hint="eastAsia"/>
          <w:szCs w:val="24"/>
          <w:lang w:eastAsia="zh-TW"/>
        </w:rPr>
      </w:pPr>
      <w:r w:rsidRPr="00857FBD">
        <w:rPr>
          <w:rFonts w:hint="eastAsia"/>
          <w:szCs w:val="24"/>
          <w:lang w:eastAsia="zh-TW"/>
        </w:rPr>
        <w:t>按：諸說皆不可從，我們認為當讀為“怠”。“矣”和“怠”的聲基都是“㠯（以）”，讀音上相通是沒有問題的。“登為天子而不驕”“卒王天下而不矣”顯然應該聯繫起來，“怠”有慢的意思，與“驕”相近。古書“驕”“怠”常常連言，可與簡文類比。清華十《四告》簡4“肆唯喬（驕）憃（專）忘（荒）怠”。《戰國策·秦策三》：</w:t>
      </w:r>
      <w:r w:rsidRPr="00857FBD">
        <w:rPr>
          <w:rFonts w:hint="eastAsia"/>
          <w:szCs w:val="24"/>
          <w:lang w:eastAsia="zh-TW"/>
        </w:rPr>
        <w:lastRenderedPageBreak/>
        <w:t>“多功而不矜，富貴不驕怠。”《史記·五宗世家》“景帝少子，驕怠多淫，數犯禁，上常寬釋之。”同書《蔡澤列傳》“大夫種之事越王也，主雖困辱，悉忠而不解，主雖絕亡，盡能而弗離，成功而弗矜，貴富而不驕怠。”簡文意謂舜注重個人修養，不期望超出能力的名位，故身處草茅而不憂。舜以天下為公，不以天下為個人私利，故王天下而不驕傲怠慢。“以天下為重”是說看重所擁有的權力、財物而以此自重，以此自重則驕怠。所謂“喜”“疑”與擁權自重都是不相匹配的。</w:t>
      </w:r>
    </w:p>
    <w:p w14:paraId="1C61D950" w14:textId="77777777" w:rsidR="00F730D5" w:rsidRPr="00857FBD" w:rsidRDefault="00F730D5" w:rsidP="003767B7">
      <w:pPr>
        <w:pStyle w:val="aff6"/>
        <w:ind w:firstLine="560"/>
        <w:rPr>
          <w:rFonts w:hint="eastAsia"/>
          <w:szCs w:val="24"/>
          <w:lang w:eastAsia="zh-TW"/>
        </w:rPr>
      </w:pPr>
    </w:p>
    <w:p w14:paraId="70DA9C2A" w14:textId="77777777" w:rsidR="00F730D5" w:rsidRPr="00857FBD" w:rsidRDefault="00F730D5" w:rsidP="003767B7">
      <w:pPr>
        <w:pStyle w:val="aff6"/>
        <w:ind w:firstLine="560"/>
        <w:rPr>
          <w:rFonts w:hint="eastAsia"/>
          <w:lang w:eastAsia="zh-TW"/>
        </w:rPr>
      </w:pPr>
      <w:r w:rsidRPr="00857FBD">
        <w:rPr>
          <w:rFonts w:hint="eastAsia"/>
          <w:kern w:val="0"/>
          <w:lang w:eastAsia="zh-TW"/>
        </w:rPr>
        <w:br w:type="page"/>
      </w:r>
    </w:p>
    <w:p w14:paraId="0DA5E9C0" w14:textId="77777777" w:rsidR="00F730D5" w:rsidRPr="00F730D5" w:rsidRDefault="00F730D5" w:rsidP="00F730D5">
      <w:pPr>
        <w:pStyle w:val="aff6"/>
        <w:ind w:firstLine="562"/>
        <w:jc w:val="center"/>
        <w:rPr>
          <w:rFonts w:hint="eastAsia"/>
          <w:b/>
          <w:bCs/>
          <w:szCs w:val="24"/>
          <w:lang w:eastAsia="zh-TW"/>
        </w:rPr>
      </w:pPr>
      <w:r w:rsidRPr="00F730D5">
        <w:rPr>
          <w:rFonts w:hint="eastAsia"/>
          <w:b/>
          <w:bCs/>
          <w:szCs w:val="24"/>
          <w:lang w:eastAsia="zh-TW"/>
        </w:rPr>
        <w:lastRenderedPageBreak/>
        <w:t>《性自命出》</w:t>
      </w:r>
    </w:p>
    <w:p w14:paraId="31053335" w14:textId="00DE697B" w:rsidR="00F730D5" w:rsidRPr="00F730D5" w:rsidRDefault="00F730D5" w:rsidP="00F730D5">
      <w:pPr>
        <w:pStyle w:val="aff6"/>
        <w:ind w:firstLine="562"/>
        <w:jc w:val="center"/>
        <w:rPr>
          <w:rFonts w:hint="eastAsia"/>
          <w:b/>
          <w:bCs/>
          <w:szCs w:val="24"/>
          <w:lang w:eastAsia="zh-TW"/>
        </w:rPr>
      </w:pPr>
      <w:r>
        <w:rPr>
          <w:rFonts w:hint="eastAsia"/>
          <w:b/>
          <w:bCs/>
          <w:szCs w:val="24"/>
          <w:lang w:eastAsia="zh-TW"/>
        </w:rPr>
        <w:t>一、</w:t>
      </w:r>
      <w:r w:rsidRPr="00F730D5">
        <w:rPr>
          <w:rFonts w:hint="eastAsia"/>
          <w:b/>
          <w:bCs/>
          <w:szCs w:val="24"/>
          <w:lang w:eastAsia="zh-TW"/>
        </w:rPr>
        <w:t>物亡不其</w:t>
      </w:r>
    </w:p>
    <w:p w14:paraId="2F8A4488" w14:textId="77777777" w:rsidR="00F730D5" w:rsidRPr="00857FBD" w:rsidRDefault="00F730D5" w:rsidP="003767B7">
      <w:pPr>
        <w:pStyle w:val="aff6"/>
        <w:ind w:firstLine="560"/>
        <w:rPr>
          <w:rFonts w:hint="eastAsia"/>
          <w:szCs w:val="24"/>
          <w:lang w:eastAsia="zh-TW"/>
        </w:rPr>
      </w:pPr>
      <w:r w:rsidRPr="00857FBD">
        <w:rPr>
          <w:rFonts w:hint="eastAsia"/>
          <w:szCs w:val="24"/>
          <w:lang w:eastAsia="zh-TW"/>
        </w:rPr>
        <w:t>簡7-9：</w:t>
      </w:r>
    </w:p>
    <w:p w14:paraId="0829DB83" w14:textId="77777777" w:rsidR="00F730D5" w:rsidRPr="00857FBD" w:rsidRDefault="00F730D5" w:rsidP="00F730D5">
      <w:pPr>
        <w:pStyle w:val="aff4"/>
        <w:spacing w:before="540" w:after="540"/>
        <w:ind w:firstLine="496"/>
        <w:rPr>
          <w:rFonts w:hint="eastAsia"/>
        </w:rPr>
      </w:pPr>
      <w:r w:rsidRPr="00857FBD">
        <w:rPr>
          <w:rFonts w:hint="eastAsia"/>
        </w:rPr>
        <w:t>牛生而倀（粻</w:t>
      </w:r>
      <w:r w:rsidRPr="00857FBD">
        <w:rPr>
          <w:rFonts w:hint="eastAsia"/>
          <w:vertAlign w:val="superscript"/>
        </w:rPr>
        <w:endnoteReference w:id="14"/>
      </w:r>
      <w:r w:rsidRPr="00857FBD">
        <w:rPr>
          <w:rFonts w:hint="eastAsia"/>
        </w:rPr>
        <w:t>），</w:t>
      </w:r>
      <w:r w:rsidRPr="00857FBD">
        <w:rPr>
          <w:noProof/>
        </w:rPr>
        <w:drawing>
          <wp:inline distT="0" distB="0" distL="0" distR="0" wp14:anchorId="53014836" wp14:editId="733C3494">
            <wp:extent cx="142875" cy="167005"/>
            <wp:effectExtent l="0" t="0" r="0" b="0"/>
            <wp:docPr id="50210091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FBD">
        <w:rPr>
          <w:rFonts w:hint="eastAsia"/>
        </w:rPr>
        <w:t>（雁）生而</w:t>
      </w:r>
      <w:r w:rsidRPr="00857FBD">
        <w:rPr>
          <w:noProof/>
        </w:rPr>
        <w:drawing>
          <wp:inline distT="0" distB="0" distL="0" distR="0" wp14:anchorId="67BA005C" wp14:editId="65ACA728">
            <wp:extent cx="142875" cy="151130"/>
            <wp:effectExtent l="0" t="0" r="0" b="0"/>
            <wp:docPr id="92111714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FBD">
        <w:rPr>
          <w:rFonts w:hint="eastAsia"/>
        </w:rPr>
        <w:t>（陣），其性</w:t>
      </w:r>
      <w:r w:rsidRPr="00857FBD">
        <w:rPr>
          <w:rFonts w:hint="eastAsia"/>
          <w:bdr w:val="single" w:sz="4" w:space="0" w:color="auto" w:frame="1"/>
        </w:rPr>
        <w:t>也。人生</w:t>
      </w:r>
      <w:r w:rsidRPr="00857FBD">
        <w:rPr>
          <w:rFonts w:hint="eastAsia"/>
          <w:vertAlign w:val="superscript"/>
        </w:rPr>
        <w:endnoteReference w:id="15"/>
      </w:r>
      <w:r w:rsidRPr="00857FBD">
        <w:rPr>
          <w:rFonts w:hint="eastAsia"/>
        </w:rPr>
        <w:t>【7】而學，或使之也。</w:t>
      </w:r>
      <w:r w:rsidRPr="00857FBD">
        <w:rPr>
          <w:rFonts w:hint="eastAsia"/>
          <w:vertAlign w:val="superscript"/>
        </w:rPr>
        <w:endnoteReference w:id="16"/>
      </w:r>
      <w:r w:rsidRPr="00857FBD">
        <w:rPr>
          <w:rFonts w:hint="eastAsia"/>
        </w:rPr>
        <w:t>凡</w:t>
      </w:r>
      <w:bookmarkStart w:id="7" w:name="_Hlk182571481"/>
      <w:r w:rsidRPr="00857FBD">
        <w:rPr>
          <w:rFonts w:hint="eastAsia"/>
          <w:u w:val="single"/>
        </w:rPr>
        <w:t>物亡不其</w:t>
      </w:r>
      <w:bookmarkEnd w:id="7"/>
      <w:r w:rsidRPr="00857FBD">
        <w:rPr>
          <w:rFonts w:hint="eastAsia"/>
        </w:rPr>
        <w:t>也者。剛之柱也，剛取之也；柔之【8】約</w:t>
      </w:r>
      <w:r w:rsidRPr="00857FBD">
        <w:rPr>
          <w:rFonts w:hint="eastAsia"/>
          <w:bdr w:val="single" w:sz="4" w:space="0" w:color="auto" w:frame="1"/>
        </w:rPr>
        <w:t>也</w:t>
      </w:r>
      <w:r w:rsidRPr="00857FBD">
        <w:rPr>
          <w:rFonts w:hint="eastAsia"/>
        </w:rPr>
        <w:t>，柔取之也。四海之內，其性一也。其用心各異，教使然也。</w:t>
      </w:r>
    </w:p>
    <w:p w14:paraId="48D6E15E" w14:textId="77777777" w:rsidR="00F730D5" w:rsidRPr="00857FBD" w:rsidRDefault="00F730D5" w:rsidP="003767B7">
      <w:pPr>
        <w:pStyle w:val="aff6"/>
        <w:ind w:firstLine="560"/>
        <w:rPr>
          <w:rFonts w:ascii="仿宋" w:eastAsia="仿宋" w:hAnsi="仿宋" w:hint="eastAsia"/>
          <w:szCs w:val="24"/>
          <w:lang w:eastAsia="zh-TW"/>
        </w:rPr>
      </w:pPr>
    </w:p>
    <w:p w14:paraId="28B64729" w14:textId="546A025C" w:rsidR="00F730D5" w:rsidRPr="00857FBD" w:rsidRDefault="00F730D5" w:rsidP="00F730D5">
      <w:pPr>
        <w:pStyle w:val="aff6"/>
        <w:ind w:firstLine="560"/>
        <w:rPr>
          <w:rFonts w:hint="eastAsia"/>
          <w:szCs w:val="24"/>
        </w:rPr>
      </w:pPr>
      <w:r w:rsidRPr="00857FBD">
        <w:rPr>
          <w:rFonts w:hint="eastAsia"/>
          <w:szCs w:val="24"/>
          <w:lang w:eastAsia="zh-TW"/>
        </w:rPr>
        <w:t>“物亡不其”之“其”原字形作</w:t>
      </w:r>
      <w:r w:rsidRPr="00857FBD">
        <w:rPr>
          <w:noProof/>
          <w:szCs w:val="24"/>
        </w:rPr>
        <w:drawing>
          <wp:inline distT="0" distB="0" distL="0" distR="0" wp14:anchorId="2B958C4A" wp14:editId="2333B5CC">
            <wp:extent cx="238760" cy="357505"/>
            <wp:effectExtent l="0" t="0" r="0" b="0"/>
            <wp:docPr id="1299773856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FBD">
        <w:rPr>
          <w:rFonts w:hint="eastAsia"/>
          <w:szCs w:val="24"/>
          <w:lang w:eastAsia="zh-TW"/>
        </w:rPr>
        <w:t>，裘按認為“異”之壞字，</w:t>
      </w:r>
      <w:bookmarkStart w:id="8" w:name="_Hlk182571530"/>
      <w:r w:rsidRPr="00857FBD">
        <w:rPr>
          <w:rFonts w:hint="eastAsia"/>
          <w:szCs w:val="24"/>
          <w:lang w:eastAsia="zh-TW"/>
        </w:rPr>
        <w:t>陳偉</w:t>
      </w:r>
      <w:bookmarkEnd w:id="8"/>
      <w:r w:rsidRPr="00857FBD">
        <w:rPr>
          <w:rFonts w:hint="eastAsia"/>
          <w:szCs w:val="24"/>
          <w:lang w:eastAsia="zh-TW"/>
        </w:rPr>
        <w:t>釋“其”，讀為“期”，預料。</w:t>
      </w:r>
      <w:r w:rsidRPr="00857FBD">
        <w:rPr>
          <w:rFonts w:hint="eastAsia"/>
          <w:szCs w:val="24"/>
          <w:vertAlign w:val="superscript"/>
          <w:lang w:eastAsia="zh-TW"/>
        </w:rPr>
        <w:endnoteReference w:id="17"/>
      </w:r>
      <w:r w:rsidRPr="00857FBD">
        <w:rPr>
          <w:rFonts w:hint="eastAsia"/>
          <w:szCs w:val="24"/>
          <w:lang w:eastAsia="zh-TW"/>
        </w:rPr>
        <w:t>按：“物亡不異”是說物各有不同，與簡文之意恐不合，詳下文。郭店簡《緇衣》簡35“其”字作</w:t>
      </w:r>
      <w:r w:rsidRPr="00857FBD">
        <w:rPr>
          <w:noProof/>
          <w:szCs w:val="24"/>
        </w:rPr>
        <w:drawing>
          <wp:inline distT="0" distB="0" distL="0" distR="0" wp14:anchorId="11D20E75" wp14:editId="42814C96">
            <wp:extent cx="262255" cy="365760"/>
            <wp:effectExtent l="0" t="0" r="0" b="0"/>
            <wp:docPr id="520047382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FBD">
        <w:rPr>
          <w:rFonts w:hint="eastAsia"/>
          <w:szCs w:val="24"/>
          <w:lang w:eastAsia="zh-TW"/>
        </w:rPr>
        <w:t>，與上揭之字同，陳偉釋“其”可從，</w:t>
      </w:r>
      <w:r w:rsidRPr="00857FBD">
        <w:rPr>
          <w:rFonts w:hint="eastAsia"/>
          <w:szCs w:val="24"/>
          <w:vertAlign w:val="superscript"/>
          <w:lang w:eastAsia="zh-TW"/>
        </w:rPr>
        <w:endnoteReference w:id="18"/>
      </w:r>
      <w:r w:rsidRPr="00857FBD">
        <w:rPr>
          <w:rFonts w:hint="eastAsia"/>
          <w:szCs w:val="24"/>
          <w:lang w:eastAsia="zh-TW"/>
        </w:rPr>
        <w:t>讀“期”則值得商榷。我們認為“其”之義相當於“斯”，指如此或者那樣，簡文意為萬物本性相同，無不如此。簡文中“牛粻”“雁陳”是性，“剛柱”“柔約”是教，“凡物亡不其也者”應該是對“性一”的總結。本節末尾“四海之內，其性一也”“其用心各異，教使然也”兩句分別對應前文“牛粻”“雁陳”之“性”、“剛柱”“柔約”之“教”。為更清晰地認識，簡文可分層如下：</w:t>
      </w:r>
    </w:p>
    <w:p w14:paraId="73D4B0B4" w14:textId="77777777" w:rsidR="00F730D5" w:rsidRPr="00857FBD" w:rsidRDefault="00F730D5" w:rsidP="00F730D5">
      <w:pPr>
        <w:pStyle w:val="aff4"/>
        <w:spacing w:before="540" w:after="540"/>
        <w:ind w:firstLine="496"/>
        <w:rPr>
          <w:rFonts w:hint="eastAsia"/>
        </w:rPr>
      </w:pPr>
      <w:r w:rsidRPr="00857FBD">
        <w:rPr>
          <w:rFonts w:hint="eastAsia"/>
        </w:rPr>
        <w:lastRenderedPageBreak/>
        <w:t>牛生而倀（棖？粻？），</w:t>
      </w:r>
      <w:r w:rsidRPr="00857FBD">
        <w:rPr>
          <w:noProof/>
        </w:rPr>
        <w:drawing>
          <wp:inline distT="0" distB="0" distL="0" distR="0" wp14:anchorId="7563E52A" wp14:editId="145B71D3">
            <wp:extent cx="142875" cy="167005"/>
            <wp:effectExtent l="0" t="0" r="0" b="0"/>
            <wp:docPr id="104742734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FBD">
        <w:rPr>
          <w:rFonts w:hint="eastAsia"/>
        </w:rPr>
        <w:t>（雁）生而</w:t>
      </w:r>
      <w:r w:rsidRPr="00857FBD">
        <w:rPr>
          <w:noProof/>
        </w:rPr>
        <w:drawing>
          <wp:inline distT="0" distB="0" distL="0" distR="0" wp14:anchorId="132A5EFB" wp14:editId="5B8A86EB">
            <wp:extent cx="135255" cy="142875"/>
            <wp:effectExtent l="0" t="0" r="0" b="0"/>
            <wp:docPr id="245916797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FBD">
        <w:rPr>
          <w:rFonts w:hint="eastAsia"/>
        </w:rPr>
        <w:t>（陣），其性也。人生【7】而學，或使之也。凡物亡不其（斯）也者。  第一層</w:t>
      </w:r>
    </w:p>
    <w:p w14:paraId="418BEE2A" w14:textId="77777777" w:rsidR="00F730D5" w:rsidRPr="00857FBD" w:rsidRDefault="00F730D5" w:rsidP="00F730D5">
      <w:pPr>
        <w:pStyle w:val="aff4"/>
        <w:spacing w:before="540" w:after="540"/>
        <w:ind w:firstLine="496"/>
        <w:rPr>
          <w:rFonts w:hint="eastAsia"/>
        </w:rPr>
      </w:pPr>
      <w:r w:rsidRPr="00857FBD">
        <w:rPr>
          <w:rFonts w:hint="eastAsia"/>
        </w:rPr>
        <w:t>剛之柱也，剛取之也；柔之【8】約也，柔取之也。  第二層</w:t>
      </w:r>
    </w:p>
    <w:p w14:paraId="303C9601" w14:textId="77777777" w:rsidR="00F730D5" w:rsidRPr="00857FBD" w:rsidRDefault="00F730D5" w:rsidP="00F730D5">
      <w:pPr>
        <w:pStyle w:val="aff4"/>
        <w:spacing w:before="540" w:after="540"/>
        <w:ind w:firstLine="496"/>
        <w:rPr>
          <w:rFonts w:hint="eastAsia"/>
        </w:rPr>
      </w:pPr>
      <w:r w:rsidRPr="00857FBD">
        <w:rPr>
          <w:rFonts w:hint="eastAsia"/>
        </w:rPr>
        <w:t>四海之內，其性一也。其用心各異，教使然也。  第三層</w:t>
      </w:r>
    </w:p>
    <w:p w14:paraId="5DDEA7F0" w14:textId="77777777" w:rsidR="00F730D5" w:rsidRPr="00857FBD" w:rsidRDefault="00F730D5" w:rsidP="003767B7">
      <w:pPr>
        <w:pStyle w:val="aff6"/>
        <w:ind w:firstLine="560"/>
        <w:rPr>
          <w:rFonts w:hint="eastAsia"/>
          <w:szCs w:val="24"/>
          <w:lang w:eastAsia="zh-TW"/>
        </w:rPr>
      </w:pPr>
      <w:r w:rsidRPr="00857FBD">
        <w:rPr>
          <w:rFonts w:hint="eastAsia"/>
          <w:szCs w:val="24"/>
          <w:lang w:eastAsia="zh-TW"/>
        </w:rPr>
        <w:t>第一層言“性一”，第二層言“教”對性的選擇作用，第三層為前兩層意思的總結。</w:t>
      </w:r>
    </w:p>
    <w:p w14:paraId="41DD7D4D" w14:textId="77777777" w:rsidR="00F730D5" w:rsidRDefault="00F730D5" w:rsidP="003767B7">
      <w:pPr>
        <w:pStyle w:val="aff6"/>
        <w:ind w:firstLine="560"/>
        <w:rPr>
          <w:szCs w:val="24"/>
        </w:rPr>
      </w:pPr>
      <w:r w:rsidRPr="00857FBD">
        <w:rPr>
          <w:rFonts w:hint="eastAsia"/>
          <w:szCs w:val="24"/>
          <w:lang w:eastAsia="zh-TW"/>
        </w:rPr>
        <w:t>上古音“其”是群母之部，“斯”是心母支部。《說文》“斯，其聲”，段玉裁認為“‘其’聲未聞，‘斯’字自三百篇及《唐韵》在支部無誤，而‘其’聲在之部，</w:t>
      </w:r>
      <w:r w:rsidRPr="00857FBD">
        <w:rPr>
          <w:rFonts w:ascii="宋体-ExtB" w:eastAsia="宋体-ExtB" w:hAnsi="宋体-ExtB" w:cs="宋体-ExtB" w:hint="eastAsia"/>
          <w:szCs w:val="24"/>
          <w:lang w:eastAsia="zh-TW"/>
        </w:rPr>
        <w:t>𣃔</w:t>
      </w:r>
      <w:r w:rsidRPr="00857FBD">
        <w:rPr>
          <w:rFonts w:hint="eastAsia"/>
          <w:szCs w:val="24"/>
          <w:lang w:eastAsia="zh-TW"/>
        </w:rPr>
        <w:t>非聲也。”朱駿聲也認為“斯”為會意字，“其”非聲。潘悟雲認為：“《說文》‘斯’從‘其’得聲，這至少說明許慎認為‘斯’的聲母跟‘其’相似，只是韻母之佳（引者按：潘書用“佳”代替“支”）旁轉。”</w:t>
      </w:r>
      <w:r w:rsidRPr="00857FBD">
        <w:rPr>
          <w:rFonts w:hint="eastAsia"/>
          <w:szCs w:val="24"/>
          <w:vertAlign w:val="superscript"/>
          <w:lang w:eastAsia="zh-TW"/>
        </w:rPr>
        <w:endnoteReference w:id="19"/>
      </w:r>
      <w:r w:rsidRPr="00857FBD">
        <w:rPr>
          <w:rFonts w:hint="eastAsia"/>
          <w:szCs w:val="24"/>
          <w:lang w:eastAsia="zh-TW"/>
        </w:rPr>
        <w:t>王引之《經傳釋詞》第八“斯，猶其也。”陳奐《詩毛氏傳疏·小雅·瓠葉》“有兔斯首”疏：“斯猶其也，古‘斯’‘其’同聲。”今按：之、支上古音有別，二者語音上相通還有一定障礙。但從意思上來講，“其”指那樣，“斯”指這樣，大致是可以相當的。簡文意謂萬物無不是那樣的，有相同的本能，成為什麼樣則在於其用心的方向。</w:t>
      </w:r>
    </w:p>
    <w:p w14:paraId="0F9F41E9" w14:textId="77777777" w:rsidR="00F730D5" w:rsidRPr="00857FBD" w:rsidRDefault="00F730D5" w:rsidP="003767B7">
      <w:pPr>
        <w:pStyle w:val="aff6"/>
        <w:ind w:firstLine="560"/>
        <w:rPr>
          <w:rFonts w:hint="eastAsia"/>
          <w:szCs w:val="24"/>
        </w:rPr>
      </w:pPr>
    </w:p>
    <w:p w14:paraId="691CC804" w14:textId="7399E341" w:rsidR="00F730D5" w:rsidRPr="00F730D5" w:rsidRDefault="00F730D5" w:rsidP="00F730D5">
      <w:pPr>
        <w:pStyle w:val="aff6"/>
        <w:ind w:firstLine="562"/>
        <w:jc w:val="center"/>
        <w:rPr>
          <w:rFonts w:hint="eastAsia"/>
          <w:b/>
          <w:bCs/>
          <w:szCs w:val="24"/>
          <w:lang w:eastAsia="zh-TW"/>
        </w:rPr>
      </w:pPr>
      <w:r w:rsidRPr="00F730D5">
        <w:rPr>
          <w:rFonts w:hint="eastAsia"/>
          <w:b/>
          <w:bCs/>
          <w:szCs w:val="24"/>
          <w:lang w:eastAsia="zh-TW"/>
        </w:rPr>
        <w:t>二、</w:t>
      </w:r>
      <w:r w:rsidRPr="00F730D5">
        <w:rPr>
          <w:rFonts w:hint="eastAsia"/>
          <w:b/>
          <w:bCs/>
          <w:szCs w:val="24"/>
          <w:lang w:eastAsia="zh-TW"/>
        </w:rPr>
        <w:t>剛之柱也，剛取之也；柔之約也，柔取之也</w:t>
      </w:r>
    </w:p>
    <w:p w14:paraId="10322184" w14:textId="77777777" w:rsidR="00F730D5" w:rsidRPr="00857FBD" w:rsidRDefault="00F730D5" w:rsidP="003767B7">
      <w:pPr>
        <w:pStyle w:val="aff6"/>
        <w:ind w:firstLine="560"/>
        <w:rPr>
          <w:rFonts w:hint="eastAsia"/>
          <w:szCs w:val="24"/>
          <w:lang w:eastAsia="zh-TW"/>
        </w:rPr>
      </w:pPr>
      <w:r w:rsidRPr="00857FBD">
        <w:rPr>
          <w:rFonts w:hint="eastAsia"/>
          <w:szCs w:val="24"/>
          <w:lang w:eastAsia="zh-TW"/>
        </w:rPr>
        <w:t>上一則引文中“剛之梪（柱）也，剛取之也；柔之約也，柔取之也”，類似“剛柱”“柔約”的話見於《語叢三》簡46“強之樹（柱）也，強取之也。莫得善其所。”《荀子·勸學》“強自取柱，柔自取束”。《大戴禮記·勸學》“強自取折，柔自取束”。《淮南子·氾論》“太剛則折，太柔則卷”。“梪”“約”目前有三種理解方式：</w:t>
      </w:r>
      <w:r w:rsidRPr="00857FBD">
        <w:rPr>
          <w:rFonts w:hint="eastAsia"/>
          <w:szCs w:val="24"/>
          <w:vertAlign w:val="superscript"/>
        </w:rPr>
        <w:endnoteReference w:id="20"/>
      </w:r>
    </w:p>
    <w:p w14:paraId="201BAEB0" w14:textId="77777777" w:rsidR="00F730D5" w:rsidRPr="00857FBD" w:rsidRDefault="00F730D5" w:rsidP="00F730D5">
      <w:pPr>
        <w:pStyle w:val="aff4"/>
        <w:spacing w:before="540" w:after="540"/>
        <w:ind w:firstLine="496"/>
        <w:rPr>
          <w:rFonts w:ascii="仿宋" w:eastAsia="仿宋" w:hAnsi="仿宋" w:hint="eastAsia"/>
        </w:rPr>
      </w:pPr>
      <w:r w:rsidRPr="00857FBD">
        <w:rPr>
          <w:rFonts w:ascii="仿宋" w:eastAsia="仿宋" w:hAnsi="仿宋" w:hint="eastAsia"/>
        </w:rPr>
        <w:t>1、被當作柱子、被用以束物，“梪”讀為“柱”。  陳劍2003C</w:t>
      </w:r>
    </w:p>
    <w:p w14:paraId="61095CE5" w14:textId="77777777" w:rsidR="00F730D5" w:rsidRPr="00857FBD" w:rsidRDefault="00F730D5" w:rsidP="00F730D5">
      <w:pPr>
        <w:pStyle w:val="aff4"/>
        <w:spacing w:before="540" w:after="540"/>
        <w:ind w:firstLine="496"/>
        <w:rPr>
          <w:rFonts w:ascii="仿宋" w:eastAsia="仿宋" w:hAnsi="仿宋" w:hint="eastAsia"/>
        </w:rPr>
      </w:pPr>
      <w:r w:rsidRPr="00857FBD">
        <w:rPr>
          <w:rFonts w:ascii="仿宋" w:eastAsia="仿宋" w:hAnsi="仿宋" w:hint="eastAsia"/>
        </w:rPr>
        <w:t>2、折斷、捲曲，“梪”讀為“祝”。  李零2002B、2007:144</w:t>
      </w:r>
    </w:p>
    <w:p w14:paraId="3F3D978E" w14:textId="77777777" w:rsidR="00F730D5" w:rsidRPr="00857FBD" w:rsidRDefault="00F730D5" w:rsidP="00F730D5">
      <w:pPr>
        <w:pStyle w:val="aff4"/>
        <w:spacing w:before="540" w:after="540"/>
        <w:ind w:firstLine="496"/>
        <w:rPr>
          <w:rFonts w:ascii="仿宋" w:eastAsia="仿宋" w:hAnsi="仿宋" w:hint="eastAsia"/>
        </w:rPr>
      </w:pPr>
      <w:r w:rsidRPr="00857FBD">
        <w:rPr>
          <w:rFonts w:ascii="仿宋" w:eastAsia="仿宋" w:hAnsi="仿宋" w:hint="eastAsia"/>
        </w:rPr>
        <w:t>3、斷物、束物，“梪”讀為“祝”。  趙建偉1999A</w:t>
      </w:r>
    </w:p>
    <w:p w14:paraId="5095EF64" w14:textId="77777777" w:rsidR="00F730D5" w:rsidRPr="00857FBD" w:rsidRDefault="00F730D5" w:rsidP="003767B7">
      <w:pPr>
        <w:pStyle w:val="aff6"/>
        <w:ind w:firstLine="560"/>
        <w:rPr>
          <w:rFonts w:hint="eastAsia"/>
          <w:szCs w:val="24"/>
          <w:lang w:eastAsia="zh-TW"/>
        </w:rPr>
      </w:pPr>
      <w:r w:rsidRPr="00857FBD">
        <w:rPr>
          <w:rFonts w:hint="eastAsia"/>
          <w:szCs w:val="24"/>
          <w:lang w:eastAsia="zh-TW"/>
        </w:rPr>
        <w:t>按：《性自命出》簡文“取之”與“教”對應，強調的是物的狀態（“剛之柱”“柔之束”）是由其自身選擇而成，雖然它們的本性相同，也就是說物性本一，剛柔自取。“剛”指代剛的事物，“柔”指代柔的事物。從“剛”“柔”自“取之”來看，“教”並非指自上而下教育人民，而很可能是人主動地接受教育。</w:t>
      </w:r>
      <w:r w:rsidRPr="00857FBD">
        <w:rPr>
          <w:rFonts w:hint="eastAsia"/>
          <w:szCs w:val="40"/>
          <w:vertAlign w:val="superscript"/>
          <w:lang w:eastAsia="zh-TW"/>
        </w:rPr>
        <w:endnoteReference w:id="21"/>
      </w:r>
      <w:r w:rsidRPr="00857FBD">
        <w:rPr>
          <w:rFonts w:hint="eastAsia"/>
          <w:szCs w:val="24"/>
          <w:lang w:eastAsia="zh-TW"/>
        </w:rPr>
        <w:t>“剛”“柔”和“牛”“雁”相同，“柱”“約”應該跟“粻”“陳”都是表示事物自身性質、狀態的詞。據此，我們認為“柱”當訓作挺直、直立，“約”訓</w:t>
      </w:r>
      <w:r w:rsidRPr="00857FBD">
        <w:rPr>
          <w:rFonts w:hint="eastAsia"/>
          <w:szCs w:val="24"/>
          <w:lang w:eastAsia="zh-TW"/>
        </w:rPr>
        <w:lastRenderedPageBreak/>
        <w:t>作捲曲。簡文意謂剛性事物的挺直是剛性事物自身選擇的，柔性事物的捲曲也是柔性事物自身選擇的。李天虹已經指出為“挺立”之義，但她把“剛取之”理解為“為剛類事物所利用”則是不正確的。</w:t>
      </w:r>
      <w:r w:rsidRPr="00857FBD">
        <w:rPr>
          <w:rFonts w:hint="eastAsia"/>
          <w:szCs w:val="24"/>
          <w:vertAlign w:val="superscript"/>
          <w:lang w:eastAsia="zh-TW"/>
        </w:rPr>
        <w:endnoteReference w:id="22"/>
      </w:r>
    </w:p>
    <w:p w14:paraId="230DA02E" w14:textId="77777777" w:rsidR="00F730D5" w:rsidRPr="00857FBD" w:rsidRDefault="00F730D5" w:rsidP="003767B7">
      <w:pPr>
        <w:pStyle w:val="aff6"/>
        <w:ind w:firstLine="560"/>
        <w:rPr>
          <w:rFonts w:hint="eastAsia"/>
          <w:szCs w:val="24"/>
          <w:lang w:eastAsia="zh-TW"/>
        </w:rPr>
      </w:pPr>
      <w:r w:rsidRPr="00857FBD">
        <w:rPr>
          <w:rFonts w:hint="eastAsia"/>
          <w:szCs w:val="24"/>
          <w:lang w:eastAsia="zh-TW"/>
        </w:rPr>
        <w:t>上引《語叢三》“莫得善其所”是說不能按其本性存在，在該篇中，“樹”對“強”者來說顯然是消極義，應視為“強”者的被動狀態，即強者“被當作柱子”或“被折斷”。《性自命出》這裏並非格言警句，到《語叢三》處，“剛”變成了專指人的“強”，又加上“莫得善其所”，意指要人避免過強，成為了鮮明的警示標語。《荀子》套用《性自命出》《語叢三》的話，看來作者是把“梪”視為“柱”的，有的研究者仍讀為“樹”，此為其說反證。為了和“柱”押韻，作者又將“約”改為“束”，他已經不知道“柱”“約”是事物本來狀態，而非動詞兼表示被動義了，可能直接繼承了《語叢三》的格言屬性。王念孫《荀子雜誌》引王引之說讀為“祝”</w:t>
      </w:r>
      <w:r w:rsidRPr="00857FBD">
        <w:rPr>
          <w:rFonts w:hint="eastAsia"/>
          <w:sz w:val="18"/>
          <w:szCs w:val="24"/>
          <w:vertAlign w:val="superscript"/>
          <w:lang w:eastAsia="zh-TW"/>
        </w:rPr>
        <w:endnoteReference w:id="23"/>
      </w:r>
      <w:r w:rsidRPr="00857FBD">
        <w:rPr>
          <w:rFonts w:hint="eastAsia"/>
          <w:szCs w:val="24"/>
          <w:lang w:eastAsia="zh-TW"/>
        </w:rPr>
        <w:t>是根據格言中“折”的含義對“柱”的強釋，不能作為《性自命出》辭例闡釋的依據。</w:t>
      </w:r>
    </w:p>
    <w:p w14:paraId="5CC6B7D0" w14:textId="780690F3" w:rsidR="00F730D5" w:rsidRPr="00F730D5" w:rsidRDefault="00F730D5" w:rsidP="00F730D5">
      <w:pPr>
        <w:pStyle w:val="aff6"/>
        <w:ind w:firstLine="562"/>
        <w:jc w:val="center"/>
        <w:rPr>
          <w:rFonts w:hint="eastAsia"/>
          <w:b/>
          <w:bCs/>
          <w:szCs w:val="24"/>
          <w:lang w:eastAsia="zh-TW"/>
        </w:rPr>
      </w:pPr>
      <w:r w:rsidRPr="00F730D5">
        <w:rPr>
          <w:rFonts w:hint="eastAsia"/>
          <w:b/>
          <w:bCs/>
          <w:szCs w:val="24"/>
          <w:lang w:eastAsia="zh-TW"/>
        </w:rPr>
        <w:t>三、</w:t>
      </w:r>
      <w:r w:rsidRPr="00F730D5">
        <w:rPr>
          <w:rFonts w:hint="eastAsia"/>
          <w:b/>
          <w:bCs/>
          <w:szCs w:val="24"/>
          <w:lang w:eastAsia="zh-TW"/>
        </w:rPr>
        <w:t>求其心</w:t>
      </w:r>
    </w:p>
    <w:p w14:paraId="4E867BC1" w14:textId="77777777" w:rsidR="00F730D5" w:rsidRPr="00857FBD" w:rsidRDefault="00F730D5" w:rsidP="003767B7">
      <w:pPr>
        <w:pStyle w:val="aff6"/>
        <w:ind w:firstLine="560"/>
        <w:rPr>
          <w:rFonts w:hint="eastAsia"/>
          <w:szCs w:val="24"/>
          <w:lang w:eastAsia="zh-TW"/>
        </w:rPr>
      </w:pPr>
      <w:r w:rsidRPr="00857FBD">
        <w:rPr>
          <w:rFonts w:hint="eastAsia"/>
          <w:szCs w:val="24"/>
          <w:lang w:eastAsia="zh-TW"/>
        </w:rPr>
        <w:t>簡36-38：</w:t>
      </w:r>
    </w:p>
    <w:p w14:paraId="6506C386" w14:textId="77777777" w:rsidR="00F730D5" w:rsidRPr="00857FBD" w:rsidRDefault="00F730D5" w:rsidP="00F730D5">
      <w:pPr>
        <w:pStyle w:val="aff4"/>
        <w:spacing w:before="540" w:after="540"/>
        <w:ind w:firstLine="496"/>
        <w:rPr>
          <w:rFonts w:hint="eastAsia"/>
        </w:rPr>
      </w:pPr>
      <w:r w:rsidRPr="00857FBD">
        <w:rPr>
          <w:rFonts w:hint="eastAsia"/>
        </w:rPr>
        <w:t>凡學者，</w:t>
      </w:r>
      <w:r w:rsidRPr="00857FBD">
        <w:rPr>
          <w:rFonts w:hint="eastAsia"/>
          <w:u w:val="single"/>
        </w:rPr>
        <w:t>隶&lt;求&gt;其心</w:t>
      </w:r>
      <w:r w:rsidRPr="00857FBD">
        <w:rPr>
          <w:rFonts w:hint="eastAsia"/>
        </w:rPr>
        <w:t>為難，從其所為，近得之矣，不如以樂之速也。</w:t>
      </w:r>
      <w:r w:rsidRPr="00857FBD">
        <w:rPr>
          <w:rFonts w:hint="eastAsia"/>
        </w:rPr>
        <w:lastRenderedPageBreak/>
        <w:t>【36】雖能其事，不能</w:t>
      </w:r>
      <w:r w:rsidRPr="00857FBD">
        <w:rPr>
          <w:rFonts w:hint="eastAsia"/>
          <w:vertAlign w:val="superscript"/>
        </w:rPr>
        <w:endnoteReference w:id="24"/>
      </w:r>
      <w:r w:rsidRPr="00857FBD">
        <w:rPr>
          <w:rFonts w:hint="eastAsia"/>
        </w:rPr>
        <w:t>其心，不貴。求其心有為也，弗得之矣。人之不能以為也，【37】可知也。</w:t>
      </w:r>
    </w:p>
    <w:p w14:paraId="27386AE9" w14:textId="77777777" w:rsidR="00F730D5" w:rsidRPr="00857FBD" w:rsidRDefault="00F730D5" w:rsidP="003767B7">
      <w:pPr>
        <w:pStyle w:val="aff6"/>
        <w:ind w:firstLine="560"/>
        <w:rPr>
          <w:rFonts w:hint="eastAsia"/>
          <w:szCs w:val="24"/>
          <w:lang w:eastAsia="zh-TW"/>
        </w:rPr>
      </w:pPr>
      <w:r w:rsidRPr="00857FBD">
        <w:rPr>
          <w:rFonts w:hint="eastAsia"/>
          <w:szCs w:val="24"/>
          <w:lang w:eastAsia="zh-TW"/>
        </w:rPr>
        <w:t>“隶”，原字形作</w:t>
      </w:r>
      <w:r w:rsidRPr="00857FBD">
        <w:rPr>
          <w:noProof/>
          <w:szCs w:val="24"/>
          <w:lang w:eastAsia="zh-TW"/>
        </w:rPr>
        <w:drawing>
          <wp:inline distT="0" distB="0" distL="0" distR="0" wp14:anchorId="6C66C700" wp14:editId="3DED3ED7">
            <wp:extent cx="198755" cy="357505"/>
            <wp:effectExtent l="0" t="0" r="0" b="0"/>
            <wp:docPr id="641149833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FBD">
        <w:rPr>
          <w:rFonts w:hint="eastAsia"/>
          <w:szCs w:val="24"/>
          <w:lang w:eastAsia="zh-TW"/>
        </w:rPr>
        <w:t>，裘按認為是“求”之訛。沈培《說郭店楚簡中的“肆”》讀為“肆”，沈文認為“肆其心”即“忘其心”，《說文》“㥆”是表示“肆”的“隶”的後起字，“正因為此篇強調的是‘忘其心’，所以，人為地‘求其心’當然就是‘偽’了”“道家常言如果要‘得道’就要‘忘心’、‘無心’”。沈文還認為此處的“肆心”是《莊子·雜篇·讓王》“忘心”思想的源頭。</w:t>
      </w:r>
      <w:r w:rsidRPr="00857FBD">
        <w:rPr>
          <w:rFonts w:hint="eastAsia"/>
          <w:szCs w:val="24"/>
          <w:vertAlign w:val="superscript"/>
          <w:lang w:eastAsia="zh-TW"/>
        </w:rPr>
        <w:endnoteReference w:id="25"/>
      </w:r>
      <w:r w:rsidRPr="00857FBD">
        <w:rPr>
          <w:rFonts w:hint="eastAsia"/>
          <w:szCs w:val="24"/>
          <w:lang w:eastAsia="zh-TW"/>
        </w:rPr>
        <w:t xml:space="preserve"> </w:t>
      </w:r>
    </w:p>
    <w:p w14:paraId="3A6A4429" w14:textId="77777777" w:rsidR="00F730D5" w:rsidRPr="00857FBD" w:rsidRDefault="00F730D5" w:rsidP="003767B7">
      <w:pPr>
        <w:pStyle w:val="aff6"/>
        <w:ind w:firstLine="560"/>
        <w:rPr>
          <w:rFonts w:hint="eastAsia"/>
          <w:szCs w:val="24"/>
          <w:lang w:eastAsia="zh-TW"/>
        </w:rPr>
      </w:pPr>
      <w:r w:rsidRPr="00857FBD">
        <w:rPr>
          <w:rFonts w:hint="eastAsia"/>
          <w:szCs w:val="24"/>
          <w:lang w:eastAsia="zh-TW"/>
        </w:rPr>
        <w:t>關於這段話裘先生在2022年發表的《從古漢語中“善”的用法談到〈老子〉中的“善”》文中解釋道：</w:t>
      </w:r>
    </w:p>
    <w:p w14:paraId="19C5B8BB" w14:textId="77777777" w:rsidR="00F730D5" w:rsidRPr="00857FBD" w:rsidRDefault="00F730D5" w:rsidP="003767B7">
      <w:pPr>
        <w:pStyle w:val="aff6"/>
        <w:ind w:firstLine="560"/>
        <w:rPr>
          <w:rFonts w:hint="eastAsia"/>
          <w:szCs w:val="24"/>
          <w:lang w:eastAsia="zh-TW"/>
        </w:rPr>
      </w:pPr>
    </w:p>
    <w:p w14:paraId="514C9D9F" w14:textId="77777777" w:rsidR="00F730D5" w:rsidRPr="00857FBD" w:rsidRDefault="00F730D5" w:rsidP="00F730D5">
      <w:pPr>
        <w:pStyle w:val="aff4"/>
        <w:spacing w:before="540" w:after="540"/>
        <w:ind w:firstLine="496"/>
        <w:rPr>
          <w:rFonts w:cs="宋体" w:hint="eastAsia"/>
          <w:u w:val="single"/>
        </w:rPr>
      </w:pPr>
      <w:r w:rsidRPr="00857FBD">
        <w:rPr>
          <w:rFonts w:hint="eastAsia"/>
        </w:rPr>
        <w:t>關於這個問題可以參看《性自命出》篇中講</w:t>
      </w:r>
      <w:r w:rsidRPr="00857FBD">
        <w:rPr>
          <w:rFonts w:hint="eastAsia"/>
          <w:u w:val="single"/>
        </w:rPr>
        <w:t>觀察“學者”</w:t>
      </w:r>
      <w:r w:rsidRPr="00857FBD">
        <w:rPr>
          <w:rFonts w:hint="eastAsia"/>
        </w:rPr>
        <w:t>（當指從學、求學者）</w:t>
      </w:r>
      <w:r w:rsidRPr="00857FBD">
        <w:rPr>
          <w:rFonts w:hint="eastAsia"/>
          <w:u w:val="single"/>
        </w:rPr>
        <w:t>心中真情</w:t>
      </w:r>
      <w:r w:rsidRPr="00857FBD">
        <w:rPr>
          <w:rFonts w:hint="eastAsia"/>
        </w:rPr>
        <w:t>的方法的一段文字。此段文字認爲</w:t>
      </w:r>
      <w:r w:rsidRPr="00857FBD">
        <w:rPr>
          <w:rFonts w:hint="eastAsia"/>
          <w:u w:val="single"/>
        </w:rPr>
        <w:t>如果被觀察者善於作僞，其心中真情就難以知道。</w:t>
      </w:r>
      <w:r w:rsidRPr="00857FBD">
        <w:rPr>
          <w:rFonts w:hint="eastAsia"/>
        </w:rPr>
        <w:t>如果他是不會作僞的，“從其所爲，近得之矣，不如以樂之速也”，意思就是</w:t>
      </w:r>
      <w:r w:rsidRPr="00857FBD">
        <w:rPr>
          <w:rFonts w:hint="eastAsia"/>
          <w:u w:val="single"/>
        </w:rPr>
        <w:t>觀察不會作僞的人的所作所爲，大概就可以得知他心中的真情，</w:t>
      </w:r>
      <w:r w:rsidRPr="00857FBD">
        <w:rPr>
          <w:rFonts w:hint="eastAsia"/>
        </w:rPr>
        <w:t>但這樣做“不如以樂之速也”。所謂“不如以樂之速也”，應指</w:t>
      </w:r>
      <w:r w:rsidRPr="00857FBD">
        <w:rPr>
          <w:rFonts w:hint="eastAsia"/>
          <w:u w:val="single"/>
        </w:rPr>
        <w:t>通過他對音樂的反應更容易知道他心中的真情。</w:t>
      </w:r>
    </w:p>
    <w:p w14:paraId="0347C5BE" w14:textId="77777777" w:rsidR="00F730D5" w:rsidRPr="00857FBD" w:rsidRDefault="00F730D5" w:rsidP="00F730D5">
      <w:pPr>
        <w:pStyle w:val="aff4"/>
        <w:spacing w:before="540" w:after="540"/>
        <w:ind w:firstLine="496"/>
        <w:rPr>
          <w:rFonts w:hint="eastAsia"/>
        </w:rPr>
      </w:pPr>
      <w:r w:rsidRPr="00857FBD">
        <w:rPr>
          <w:rFonts w:hint="eastAsia"/>
        </w:rPr>
        <w:lastRenderedPageBreak/>
        <w:t>“人之不能以爲（偽）也，可知也”句中的“之”應訓爲“若”（參看王引之《經傳釋詞》，199—200頁），這句話的意思是說被觀察的人若是不會作偽的，他心中的真情就可以知道。</w:t>
      </w:r>
      <w:r w:rsidRPr="00857FBD">
        <w:rPr>
          <w:rFonts w:hint="eastAsia"/>
          <w:vertAlign w:val="superscript"/>
        </w:rPr>
        <w:endnoteReference w:id="26"/>
      </w:r>
    </w:p>
    <w:p w14:paraId="7379A97E" w14:textId="77777777" w:rsidR="00F730D5" w:rsidRPr="00857FBD" w:rsidRDefault="00F730D5" w:rsidP="003767B7">
      <w:pPr>
        <w:pStyle w:val="aff6"/>
        <w:ind w:firstLine="560"/>
        <w:rPr>
          <w:rFonts w:ascii="仿宋" w:eastAsia="仿宋" w:hAnsi="仿宋" w:hint="eastAsia"/>
          <w:szCs w:val="24"/>
          <w:lang w:eastAsia="zh-TW"/>
        </w:rPr>
      </w:pPr>
    </w:p>
    <w:p w14:paraId="1D682BB5" w14:textId="77777777" w:rsidR="00F730D5" w:rsidRPr="00857FBD" w:rsidRDefault="00F730D5" w:rsidP="003767B7">
      <w:pPr>
        <w:pStyle w:val="aff6"/>
        <w:ind w:firstLine="560"/>
        <w:rPr>
          <w:rFonts w:hint="eastAsia"/>
          <w:szCs w:val="24"/>
          <w:lang w:eastAsia="zh-TW"/>
        </w:rPr>
      </w:pPr>
      <w:r w:rsidRPr="00857FBD">
        <w:rPr>
          <w:rFonts w:hint="eastAsia"/>
          <w:szCs w:val="24"/>
          <w:lang w:eastAsia="zh-TW"/>
        </w:rPr>
        <w:t>總結來說，裘文認為“求其心”是求他人之心，即求從學者之心，如果從學者有偽，則不能得其心，從其所為，可以得知一些，但不如觀其對音樂的反應得到得快。“人之不能以偽”的“之”訓為“若”，如果。如果不會作偽，他心中的真情就可以知道。</w:t>
      </w:r>
    </w:p>
    <w:p w14:paraId="40617C92" w14:textId="77777777" w:rsidR="00F730D5" w:rsidRPr="00857FBD" w:rsidRDefault="00F730D5" w:rsidP="003767B7">
      <w:pPr>
        <w:pStyle w:val="aff6"/>
        <w:ind w:firstLine="560"/>
        <w:rPr>
          <w:rFonts w:hint="eastAsia"/>
          <w:szCs w:val="24"/>
          <w:lang w:eastAsia="zh-TW"/>
        </w:rPr>
      </w:pPr>
      <w:r w:rsidRPr="00857FBD">
        <w:rPr>
          <w:rFonts w:hint="eastAsia"/>
          <w:szCs w:val="24"/>
          <w:lang w:eastAsia="zh-TW"/>
        </w:rPr>
        <w:t>按：“為”裘按讀為“偽”，上引《善》文解釋為“作偽”。不過本篇一般用“</w:t>
      </w:r>
      <w:r w:rsidRPr="00857FBD">
        <w:rPr>
          <w:noProof/>
          <w:sz w:val="21"/>
        </w:rPr>
        <w:drawing>
          <wp:inline distT="0" distB="0" distL="0" distR="0" wp14:anchorId="5190910D" wp14:editId="32197C7C">
            <wp:extent cx="151130" cy="151130"/>
            <wp:effectExtent l="0" t="0" r="0" b="0"/>
            <wp:docPr id="166180085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FBD">
        <w:rPr>
          <w:rFonts w:hint="eastAsia"/>
          <w:szCs w:val="24"/>
          <w:lang w:eastAsia="zh-TW"/>
        </w:rPr>
        <w:t>”表示{偽}（簡48、60、62、65），沈培認為“為”指“人為”，此說具有啟發性，“為”當指非出自真情的刻意作為。回到“求其心”，沈文所謂“忘其心”於文意不妥，本篇亦非道家作品，沈說恐不可從。本篇簡37“求”作</w:t>
      </w:r>
      <w:r w:rsidRPr="00857FBD">
        <w:rPr>
          <w:noProof/>
          <w:szCs w:val="24"/>
          <w:lang w:eastAsia="zh-TW"/>
        </w:rPr>
        <w:drawing>
          <wp:inline distT="0" distB="0" distL="0" distR="0" wp14:anchorId="16C975F2" wp14:editId="49BE70AC">
            <wp:extent cx="254635" cy="365760"/>
            <wp:effectExtent l="0" t="0" r="0" b="0"/>
            <wp:docPr id="1591286155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FBD">
        <w:rPr>
          <w:rFonts w:hint="eastAsia"/>
          <w:szCs w:val="24"/>
          <w:lang w:eastAsia="zh-TW"/>
        </w:rPr>
        <w:t>，裘先生訛字說應該是可信的。不過，裘文對“求其心”的解釋恐值得商榷。按照按照求他人之心和作偽的說法，假設準備求其心的人是B，所求的對象“其”是A， B求A心，A偽則B不得，推出A不能偽（“人之不能以偽也，可知也”），這樣顯然不合情理，因為中間沒有B對A的約束條件，</w:t>
      </w:r>
      <w:r w:rsidRPr="00857FBD">
        <w:rPr>
          <w:rFonts w:hint="eastAsia"/>
          <w:szCs w:val="24"/>
          <w:lang w:eastAsia="zh-TW"/>
        </w:rPr>
        <w:lastRenderedPageBreak/>
        <w:t>能不能偽全在A的意願。因此，“求其心”為求他人之心的意見恐不可信。我們認為“求其心”是學者求自己之心。簡1“心亡奠（定）志”，所以學者要“求其心”，也就是求定其心。這也說明所求為自己之心，而非觀察了解他人之心。簡7+8“人生而學”之“學” 強調主觀性，可與此“學者”類比。簡文謂學者求自己的心是不容易的，從日常所作之事中把握其心，約略可以得到，但不如受教於音樂那樣迅速。求心的過程就是貫徹“恕、義、敬、忠、信、仁”等美德，這個過程不能不出自真情，若是人為刻意地去做，則不能得其心。如此，將A、B兩個主體合一，約束條件就是“不能得”，A為則A不能得，正可推出必“不能為”。</w:t>
      </w:r>
    </w:p>
    <w:p w14:paraId="76F4C141" w14:textId="2859C71F" w:rsidR="00F730D5" w:rsidRPr="00857FBD" w:rsidRDefault="00F730D5" w:rsidP="00F730D5">
      <w:pPr>
        <w:pStyle w:val="aff6"/>
        <w:ind w:firstLine="560"/>
        <w:jc w:val="center"/>
        <w:rPr>
          <w:rFonts w:hint="eastAsia"/>
          <w:szCs w:val="24"/>
          <w:lang w:eastAsia="zh-TW"/>
        </w:rPr>
      </w:pPr>
      <w:r>
        <w:rPr>
          <w:rFonts w:hint="eastAsia"/>
          <w:szCs w:val="24"/>
          <w:lang w:eastAsia="zh-TW"/>
        </w:rPr>
        <w:t>四、</w:t>
      </w:r>
      <w:r w:rsidRPr="00857FBD">
        <w:rPr>
          <w:rFonts w:hint="eastAsia"/>
          <w:szCs w:val="24"/>
          <w:lang w:eastAsia="zh-TW"/>
        </w:rPr>
        <w:t>巤</w:t>
      </w:r>
    </w:p>
    <w:p w14:paraId="26A6E11D" w14:textId="77777777" w:rsidR="00F730D5" w:rsidRPr="00857FBD" w:rsidRDefault="00F730D5" w:rsidP="003767B7">
      <w:pPr>
        <w:pStyle w:val="aff6"/>
        <w:ind w:firstLine="560"/>
        <w:rPr>
          <w:rFonts w:hint="eastAsia"/>
          <w:szCs w:val="24"/>
          <w:lang w:eastAsia="zh-TW"/>
        </w:rPr>
      </w:pPr>
      <w:r w:rsidRPr="00857FBD">
        <w:rPr>
          <w:rFonts w:hint="eastAsia"/>
          <w:szCs w:val="24"/>
          <w:lang w:eastAsia="zh-TW"/>
        </w:rPr>
        <w:t>簡54+55：</w:t>
      </w:r>
    </w:p>
    <w:p w14:paraId="646F46A8" w14:textId="77777777" w:rsidR="00F730D5" w:rsidRPr="00857FBD" w:rsidRDefault="00F730D5" w:rsidP="00F730D5">
      <w:pPr>
        <w:pStyle w:val="aff4"/>
        <w:spacing w:before="540" w:after="540"/>
        <w:ind w:firstLine="496"/>
        <w:rPr>
          <w:rFonts w:hint="eastAsia"/>
        </w:rPr>
      </w:pPr>
      <w:r w:rsidRPr="00857FBD">
        <w:rPr>
          <w:rFonts w:hint="eastAsia"/>
        </w:rPr>
        <w:t>獨處而樂，有內</w:t>
      </w:r>
      <w:r w:rsidRPr="00857FBD">
        <w:rPr>
          <w:rFonts w:hint="eastAsia"/>
          <w:u w:val="single"/>
        </w:rPr>
        <w:t>巤（業）</w:t>
      </w:r>
      <w:r w:rsidRPr="00857FBD">
        <w:rPr>
          <w:rFonts w:hint="eastAsia"/>
        </w:rPr>
        <w:t>者也。惡之而不可非者，達於義者也。非之【54】而不可惡者，篤於仁者也。行之不過，知道者也。</w:t>
      </w:r>
    </w:p>
    <w:p w14:paraId="5B4FC544" w14:textId="77777777" w:rsidR="00F730D5" w:rsidRPr="00857FBD" w:rsidRDefault="00F730D5" w:rsidP="003767B7">
      <w:pPr>
        <w:pStyle w:val="aff6"/>
        <w:ind w:firstLine="560"/>
        <w:rPr>
          <w:rFonts w:hint="eastAsia"/>
          <w:szCs w:val="24"/>
          <w:lang w:eastAsia="zh-TW"/>
        </w:rPr>
      </w:pPr>
      <w:r w:rsidRPr="00857FBD">
        <w:rPr>
          <w:rFonts w:hint="eastAsia"/>
          <w:szCs w:val="24"/>
          <w:lang w:eastAsia="zh-TW"/>
        </w:rPr>
        <w:t>“巤”，原字形作</w:t>
      </w:r>
      <w:r w:rsidRPr="00857FBD">
        <w:rPr>
          <w:noProof/>
          <w:szCs w:val="24"/>
        </w:rPr>
        <w:drawing>
          <wp:inline distT="0" distB="0" distL="0" distR="0" wp14:anchorId="29F55352" wp14:editId="438A4CA7">
            <wp:extent cx="222885" cy="365760"/>
            <wp:effectExtent l="0" t="0" r="0" b="0"/>
            <wp:docPr id="462575749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FBD">
        <w:rPr>
          <w:rFonts w:hint="eastAsia"/>
          <w:szCs w:val="24"/>
          <w:lang w:eastAsia="zh-TW"/>
        </w:rPr>
        <w:t>，前人或釋為“禮”“扁”，</w:t>
      </w:r>
      <w:r w:rsidRPr="00857FBD">
        <w:rPr>
          <w:rFonts w:hint="eastAsia"/>
          <w:szCs w:val="24"/>
          <w:vertAlign w:val="superscript"/>
          <w:lang w:eastAsia="zh-TW"/>
        </w:rPr>
        <w:endnoteReference w:id="27"/>
      </w:r>
      <w:r w:rsidRPr="00857FBD">
        <w:rPr>
          <w:rFonts w:hint="eastAsia"/>
          <w:szCs w:val="24"/>
          <w:lang w:eastAsia="zh-TW"/>
        </w:rPr>
        <w:t>皆非，劉信芳釋為“巤”，讀為“獵”，</w:t>
      </w:r>
      <w:r w:rsidRPr="00857FBD">
        <w:rPr>
          <w:rFonts w:hint="eastAsia"/>
          <w:szCs w:val="24"/>
          <w:vertAlign w:val="superscript"/>
          <w:lang w:eastAsia="zh-TW"/>
        </w:rPr>
        <w:endnoteReference w:id="28"/>
      </w:r>
      <w:r w:rsidRPr="00857FBD">
        <w:rPr>
          <w:rFonts w:hint="eastAsia"/>
          <w:szCs w:val="24"/>
          <w:lang w:eastAsia="zh-TW"/>
        </w:rPr>
        <w:t>頗有啟發意義。此字上博本《性情論》</w:t>
      </w:r>
      <w:r w:rsidRPr="00857FBD">
        <w:rPr>
          <w:rFonts w:hint="eastAsia"/>
          <w:szCs w:val="24"/>
          <w:lang w:eastAsia="zh-TW"/>
        </w:rPr>
        <w:lastRenderedPageBreak/>
        <w:t>作</w:t>
      </w:r>
      <w:r w:rsidRPr="00857FBD">
        <w:rPr>
          <w:noProof/>
          <w:szCs w:val="24"/>
          <w:lang w:eastAsia="zh-TW"/>
        </w:rPr>
        <w:drawing>
          <wp:inline distT="0" distB="0" distL="0" distR="0" wp14:anchorId="2BAB70AB" wp14:editId="6B0E2D54">
            <wp:extent cx="294005" cy="365760"/>
            <wp:effectExtent l="0" t="0" r="0" b="0"/>
            <wp:docPr id="302051266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FBD">
        <w:rPr>
          <w:rFonts w:hint="eastAsia"/>
          <w:szCs w:val="24"/>
          <w:lang w:eastAsia="zh-TW"/>
        </w:rPr>
        <w:t>簡23，字殘，整理者釋為“</w:t>
      </w:r>
      <w:r w:rsidRPr="00857FBD">
        <w:rPr>
          <w:noProof/>
          <w:szCs w:val="24"/>
        </w:rPr>
        <w:drawing>
          <wp:inline distT="0" distB="0" distL="0" distR="0" wp14:anchorId="19EDEE39" wp14:editId="57D8BA2D">
            <wp:extent cx="167005" cy="167005"/>
            <wp:effectExtent l="0" t="0" r="0" b="0"/>
            <wp:docPr id="1777198780" name="图形 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207883" name="图形 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FBD">
        <w:rPr>
          <w:rFonts w:hint="eastAsia"/>
          <w:szCs w:val="24"/>
          <w:lang w:eastAsia="zh-TW"/>
        </w:rPr>
        <w:t>（動）”，</w:t>
      </w:r>
      <w:r w:rsidRPr="00857FBD">
        <w:rPr>
          <w:rFonts w:hint="eastAsia"/>
          <w:sz w:val="21"/>
          <w:vertAlign w:val="superscript"/>
          <w:lang w:eastAsia="zh-TW"/>
        </w:rPr>
        <w:endnoteReference w:id="29"/>
      </w:r>
      <w:r w:rsidRPr="00857FBD">
        <w:rPr>
          <w:rFonts w:hint="eastAsia"/>
          <w:szCs w:val="24"/>
          <w:lang w:eastAsia="zh-TW"/>
        </w:rPr>
        <w:t>恐不可信。按：近出楚簡從“巤”之字如</w:t>
      </w:r>
      <w:r w:rsidRPr="00857FBD">
        <w:rPr>
          <w:noProof/>
          <w:szCs w:val="24"/>
          <w:lang w:eastAsia="zh-TW"/>
        </w:rPr>
        <w:drawing>
          <wp:inline distT="0" distB="0" distL="0" distR="0" wp14:anchorId="306B3667" wp14:editId="1C12D008">
            <wp:extent cx="278130" cy="365760"/>
            <wp:effectExtent l="0" t="0" r="0" b="0"/>
            <wp:docPr id="1182293965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FBD">
        <w:rPr>
          <w:rFonts w:hint="eastAsia"/>
          <w:szCs w:val="24"/>
          <w:lang w:eastAsia="zh-TW"/>
        </w:rPr>
        <w:t>（清華七《越公其事》簡59）</w:t>
      </w:r>
      <w:r w:rsidRPr="00857FBD">
        <w:rPr>
          <w:noProof/>
          <w:szCs w:val="24"/>
          <w:lang w:eastAsia="zh-TW"/>
        </w:rPr>
        <w:drawing>
          <wp:inline distT="0" distB="0" distL="0" distR="0" wp14:anchorId="18C388BE" wp14:editId="20619F97">
            <wp:extent cx="262255" cy="365760"/>
            <wp:effectExtent l="0" t="0" r="0" b="0"/>
            <wp:docPr id="2138644314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FBD">
        <w:rPr>
          <w:rFonts w:hint="eastAsia"/>
          <w:szCs w:val="24"/>
          <w:lang w:eastAsia="zh-TW"/>
        </w:rPr>
        <w:t>（清華六《子儀》簡9），該字釋“巤”無疑。郭店簡《六德》簡39-44有幾個從“巤”之字：</w:t>
      </w:r>
    </w:p>
    <w:p w14:paraId="1E4FA3C9" w14:textId="77777777" w:rsidR="00F730D5" w:rsidRPr="00857FBD" w:rsidRDefault="00F730D5" w:rsidP="003767B7">
      <w:pPr>
        <w:pStyle w:val="aff6"/>
        <w:ind w:firstLine="560"/>
        <w:rPr>
          <w:rFonts w:hint="eastAsia"/>
          <w:szCs w:val="24"/>
          <w:lang w:eastAsia="zh-TW"/>
        </w:rPr>
      </w:pPr>
    </w:p>
    <w:p w14:paraId="704B26F1" w14:textId="77777777" w:rsidR="00F730D5" w:rsidRPr="00857FBD" w:rsidRDefault="00F730D5" w:rsidP="00F730D5">
      <w:pPr>
        <w:pStyle w:val="aff4"/>
        <w:spacing w:before="540" w:after="540"/>
        <w:ind w:firstLine="496"/>
        <w:rPr>
          <w:rFonts w:hint="eastAsia"/>
        </w:rPr>
      </w:pPr>
      <w:r w:rsidRPr="00857FBD">
        <w:rPr>
          <w:rFonts w:hint="eastAsia"/>
        </w:rPr>
        <w:t>男女不辨，父子不親。父子不親，君臣無義。是故先王之【39】教民也，始於孝弟。君子於此一A1者無所廢。是故先【40】王之教民也，不使此民也憂其身，失其A2。孝，本也。下修其【41】本，可以斷獄。生民斯必有夫婦、父子、君臣。君子明乎此【42】六者，然後可以斷獄。道不可B也，能守一曲焉，可以違【43】其惡，是以其斷獄速。</w:t>
      </w:r>
    </w:p>
    <w:p w14:paraId="0E21CBFD" w14:textId="77777777" w:rsidR="00F730D5" w:rsidRPr="00857FBD" w:rsidRDefault="00F730D5" w:rsidP="003767B7">
      <w:pPr>
        <w:pStyle w:val="aff6"/>
        <w:ind w:firstLine="560"/>
        <w:rPr>
          <w:rFonts w:ascii="仿宋" w:eastAsia="仿宋" w:hAnsi="仿宋" w:hint="eastAsia"/>
          <w:szCs w:val="24"/>
          <w:lang w:eastAsia="zh-TW"/>
        </w:rPr>
      </w:pPr>
    </w:p>
    <w:p w14:paraId="419B53B2" w14:textId="77777777" w:rsidR="00F730D5" w:rsidRPr="00857FBD" w:rsidRDefault="00F730D5" w:rsidP="003767B7">
      <w:pPr>
        <w:pStyle w:val="aff6"/>
        <w:ind w:firstLine="560"/>
        <w:rPr>
          <w:rFonts w:hint="eastAsia"/>
          <w:szCs w:val="24"/>
          <w:lang w:eastAsia="zh-TW"/>
        </w:rPr>
      </w:pPr>
      <w:r w:rsidRPr="00857FBD">
        <w:rPr>
          <w:rFonts w:hint="eastAsia"/>
          <w:szCs w:val="24"/>
          <w:lang w:eastAsia="zh-TW"/>
        </w:rPr>
        <w:t>A1、A2、B原字形分別作</w:t>
      </w:r>
      <w:r w:rsidRPr="00857FBD">
        <w:rPr>
          <w:noProof/>
          <w:sz w:val="21"/>
        </w:rPr>
        <w:drawing>
          <wp:inline distT="0" distB="0" distL="0" distR="0" wp14:anchorId="5C343108" wp14:editId="5949DD31">
            <wp:extent cx="174625" cy="365760"/>
            <wp:effectExtent l="0" t="0" r="0" b="0"/>
            <wp:docPr id="303920235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FBD">
        <w:rPr>
          <w:rFonts w:hint="eastAsia"/>
          <w:szCs w:val="24"/>
          <w:lang w:eastAsia="zh-TW"/>
        </w:rPr>
        <w:t>簡40</w:t>
      </w:r>
      <w:r w:rsidRPr="00857FBD">
        <w:rPr>
          <w:noProof/>
          <w:sz w:val="21"/>
        </w:rPr>
        <w:drawing>
          <wp:inline distT="0" distB="0" distL="0" distR="0" wp14:anchorId="01B7801D" wp14:editId="77BA8DCE">
            <wp:extent cx="214630" cy="357505"/>
            <wp:effectExtent l="0" t="0" r="0" b="0"/>
            <wp:docPr id="1115477880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FBD">
        <w:rPr>
          <w:rFonts w:hint="eastAsia"/>
          <w:szCs w:val="24"/>
          <w:lang w:eastAsia="zh-TW"/>
        </w:rPr>
        <w:t>簡41</w:t>
      </w:r>
      <w:r w:rsidRPr="00857FBD">
        <w:rPr>
          <w:noProof/>
          <w:sz w:val="21"/>
        </w:rPr>
        <w:drawing>
          <wp:inline distT="0" distB="0" distL="0" distR="0" wp14:anchorId="4ADF1DA9" wp14:editId="6C81B6AE">
            <wp:extent cx="191135" cy="365760"/>
            <wp:effectExtent l="0" t="0" r="0" b="0"/>
            <wp:docPr id="981026599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FBD">
        <w:rPr>
          <w:rFonts w:hint="eastAsia"/>
          <w:szCs w:val="24"/>
          <w:lang w:eastAsia="zh-TW"/>
        </w:rPr>
        <w:t>簡43，沈培認為A1、A2讀“業”，B讀“躐”。</w:t>
      </w:r>
      <w:r w:rsidRPr="00857FBD">
        <w:rPr>
          <w:rFonts w:hint="eastAsia"/>
          <w:szCs w:val="24"/>
          <w:vertAlign w:val="superscript"/>
          <w:lang w:eastAsia="zh-TW"/>
        </w:rPr>
        <w:endnoteReference w:id="30"/>
      </w:r>
      <w:r w:rsidRPr="00857FBD">
        <w:rPr>
          <w:rFonts w:hint="eastAsia"/>
          <w:szCs w:val="24"/>
          <w:lang w:eastAsia="zh-TW"/>
        </w:rPr>
        <w:t>其說可從。上古音“巤”“業”都是葉部，來母和疑母有諧聲關係，“業”“巤”應該可以通假。據此，我們認為《性自命出》此處可讀為“內業”，“業”，事也。《管子》有《內業》篇，“內業”指內心修行之事，簡文“獨處而樂，有內業也”意謂獨處而感到樂趣，是源於有向內修行的志業。</w:t>
      </w:r>
    </w:p>
    <w:p w14:paraId="7EE6A2A3" w14:textId="77777777" w:rsidR="00857FBD" w:rsidRPr="00857FBD" w:rsidRDefault="00F730D5" w:rsidP="003767B7">
      <w:pPr>
        <w:pStyle w:val="aff6"/>
        <w:ind w:firstLine="560"/>
        <w:rPr>
          <w:rFonts w:hint="eastAsia"/>
          <w:szCs w:val="24"/>
          <w:lang w:eastAsia="zh-TW"/>
        </w:rPr>
      </w:pPr>
      <w:r w:rsidRPr="00857FBD">
        <w:rPr>
          <w:rFonts w:hint="eastAsia"/>
          <w:kern w:val="0"/>
          <w:szCs w:val="24"/>
          <w:lang w:eastAsia="zh-TW"/>
        </w:rPr>
        <w:lastRenderedPageBreak/>
        <w:t>《語叢三》簡12+13：“与（與）不好【</w:t>
      </w:r>
      <w:r w:rsidRPr="00857FBD">
        <w:rPr>
          <w:rFonts w:hint="eastAsia"/>
          <w:szCs w:val="24"/>
          <w:lang w:eastAsia="zh-TW"/>
        </w:rPr>
        <w:t>11】教（學）者遊，員（損）</w:t>
      </w:r>
      <w:bookmarkStart w:id="9" w:name="_Hlk183602311"/>
      <w:r w:rsidRPr="00857FBD">
        <w:rPr>
          <w:rFonts w:hint="eastAsia"/>
          <w:szCs w:val="24"/>
          <w:lang w:eastAsia="zh-TW"/>
        </w:rPr>
        <w:t>；處而亡</w:t>
      </w:r>
      <w:r w:rsidRPr="00857FBD">
        <w:rPr>
          <w:noProof/>
          <w:sz w:val="21"/>
        </w:rPr>
        <w:drawing>
          <wp:inline distT="0" distB="0" distL="0" distR="0" wp14:anchorId="474A2CB1" wp14:editId="03A16955">
            <wp:extent cx="142875" cy="151130"/>
            <wp:effectExtent l="0" t="0" r="0" b="0"/>
            <wp:docPr id="1605889189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FBD">
        <w:rPr>
          <w:rFonts w:hint="eastAsia"/>
          <w:szCs w:val="24"/>
          <w:lang w:eastAsia="zh-TW"/>
        </w:rPr>
        <w:t>（業）【12】習也，員（損）。</w:t>
      </w:r>
      <w:bookmarkEnd w:id="9"/>
      <w:r w:rsidRPr="00857FBD">
        <w:rPr>
          <w:rFonts w:hint="eastAsia"/>
          <w:kern w:val="0"/>
          <w:szCs w:val="24"/>
          <w:lang w:eastAsia="zh-TW"/>
        </w:rPr>
        <w:t>”“</w:t>
      </w:r>
      <w:r w:rsidRPr="00857FBD">
        <w:rPr>
          <w:noProof/>
          <w:sz w:val="21"/>
        </w:rPr>
        <w:drawing>
          <wp:inline distT="0" distB="0" distL="0" distR="0" wp14:anchorId="62528BFD" wp14:editId="13D145E6">
            <wp:extent cx="142875" cy="151130"/>
            <wp:effectExtent l="0" t="0" r="0" b="0"/>
            <wp:docPr id="1934374395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FBD">
        <w:rPr>
          <w:rFonts w:hint="eastAsia"/>
          <w:kern w:val="0"/>
          <w:szCs w:val="24"/>
          <w:lang w:eastAsia="zh-TW"/>
        </w:rPr>
        <w:t>”研究者或讀為“列”“躐”“獵”，</w:t>
      </w:r>
      <w:r w:rsidRPr="00857FBD">
        <w:rPr>
          <w:rFonts w:hint="eastAsia"/>
          <w:kern w:val="0"/>
          <w:szCs w:val="24"/>
          <w:vertAlign w:val="superscript"/>
          <w:lang w:eastAsia="zh-TW"/>
        </w:rPr>
        <w:endnoteReference w:id="31"/>
      </w:r>
      <w:r w:rsidRPr="00857FBD">
        <w:rPr>
          <w:rFonts w:hint="eastAsia"/>
          <w:kern w:val="0"/>
          <w:szCs w:val="24"/>
          <w:lang w:eastAsia="zh-TW"/>
        </w:rPr>
        <w:t>皆</w:t>
      </w:r>
      <w:r w:rsidR="00857FBD" w:rsidRPr="00857FBD">
        <w:rPr>
          <w:rFonts w:hint="eastAsia"/>
          <w:kern w:val="0"/>
          <w:szCs w:val="24"/>
          <w:lang w:eastAsia="zh-TW"/>
        </w:rPr>
        <w:t>不可信。我們認為當</w:t>
      </w:r>
      <w:r w:rsidR="00857FBD" w:rsidRPr="00857FBD">
        <w:rPr>
          <w:rFonts w:hint="eastAsia"/>
          <w:szCs w:val="24"/>
          <w:lang w:eastAsia="zh-TW"/>
        </w:rPr>
        <w:t>讀“業”，古書有“習業”之語，《禮記·曲禮上》：“所游必有常，所習必有業。”此可以和《性自命出》“巤”讀“業”互證。</w:t>
      </w:r>
    </w:p>
    <w:p w14:paraId="70FA3249" w14:textId="77777777" w:rsidR="00857FBD" w:rsidRPr="00857FBD" w:rsidRDefault="00857FBD" w:rsidP="003767B7">
      <w:pPr>
        <w:pStyle w:val="aff6"/>
        <w:ind w:firstLine="560"/>
        <w:rPr>
          <w:rFonts w:ascii="楷体" w:eastAsia="楷体" w:hAnsi="楷体" w:cs="宋体" w:hint="eastAsia"/>
          <w:szCs w:val="24"/>
          <w:lang w:eastAsia="zh-TW"/>
        </w:rPr>
      </w:pPr>
    </w:p>
    <w:p w14:paraId="49680A16" w14:textId="77777777" w:rsidR="00857FBD" w:rsidRPr="00857FBD" w:rsidRDefault="00857FBD" w:rsidP="003767B7">
      <w:pPr>
        <w:pStyle w:val="aff6"/>
        <w:ind w:firstLine="560"/>
        <w:rPr>
          <w:rFonts w:ascii="楷体" w:eastAsia="楷体" w:hAnsi="楷体" w:hint="eastAsia"/>
          <w:szCs w:val="24"/>
          <w:lang w:eastAsia="zh-TW"/>
        </w:rPr>
      </w:pPr>
      <w:r w:rsidRPr="00857FBD">
        <w:rPr>
          <w:rFonts w:ascii="楷体" w:eastAsia="楷体" w:hAnsi="楷体" w:cs="宋体" w:hint="eastAsia"/>
          <w:szCs w:val="24"/>
          <w:lang w:eastAsia="zh-TW"/>
        </w:rPr>
        <w:t>本文原發表於許禮平主編：《說文論語》第九期，澳門漢字學會，2025年12月。此次修改糾正了部分錯誤，並補充了一些內容，基本觀點未變。</w:t>
      </w:r>
    </w:p>
    <w:p w14:paraId="3757D9AA" w14:textId="77777777" w:rsidR="00857FBD" w:rsidRPr="00857FBD" w:rsidRDefault="00857FBD" w:rsidP="003767B7">
      <w:pPr>
        <w:pStyle w:val="aff6"/>
        <w:ind w:firstLine="420"/>
        <w:rPr>
          <w:rFonts w:cs="宋体" w:hint="eastAsia"/>
          <w:sz w:val="21"/>
          <w:szCs w:val="21"/>
          <w:lang w:eastAsia="zh-TW"/>
        </w:rPr>
      </w:pPr>
    </w:p>
    <w:p w14:paraId="72E0EBC8" w14:textId="77777777" w:rsidR="00F625C4" w:rsidRPr="00857FBD" w:rsidRDefault="00F625C4" w:rsidP="003767B7">
      <w:pPr>
        <w:pStyle w:val="aff6"/>
        <w:ind w:firstLine="560"/>
        <w:rPr>
          <w:rFonts w:hint="eastAsia"/>
          <w:lang w:eastAsia="zh-TW"/>
        </w:rPr>
      </w:pPr>
    </w:p>
    <w:sectPr w:rsidR="00F625C4" w:rsidRPr="00857FBD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footnotePr>
        <w:numRestart w:val="eachPage"/>
      </w:footnotePr>
      <w:endnotePr>
        <w:numFmt w:val="decimal"/>
      </w:endnotePr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58D743" w14:textId="77777777" w:rsidR="00A85B8E" w:rsidRDefault="00A85B8E">
      <w:pPr>
        <w:rPr>
          <w:rFonts w:hint="eastAsia"/>
        </w:rPr>
      </w:pPr>
      <w:r>
        <w:separator/>
      </w:r>
    </w:p>
  </w:endnote>
  <w:endnote w:type="continuationSeparator" w:id="0">
    <w:p w14:paraId="115FBFED" w14:textId="77777777" w:rsidR="00A85B8E" w:rsidRDefault="00A85B8E">
      <w:pPr>
        <w:rPr>
          <w:rFonts w:hint="eastAsia"/>
        </w:rPr>
      </w:pPr>
      <w:r>
        <w:continuationSeparator/>
      </w:r>
    </w:p>
  </w:endnote>
  <w:endnote w:id="1">
    <w:p w14:paraId="5E734BFD" w14:textId="77777777" w:rsidR="00F730D5" w:rsidRPr="00315971" w:rsidRDefault="00F730D5" w:rsidP="00857FBD">
      <w:pPr>
        <w:pStyle w:val="af6"/>
        <w:snapToGrid w:val="0"/>
        <w:rPr>
          <w:sz w:val="21"/>
          <w:szCs w:val="21"/>
          <w:lang w:eastAsia="zh-TW"/>
        </w:rPr>
      </w:pPr>
      <w:r w:rsidRPr="00315971">
        <w:rPr>
          <w:rFonts w:hint="eastAsia"/>
          <w:sz w:val="21"/>
          <w:szCs w:val="21"/>
          <w:vertAlign w:val="superscript"/>
          <w:lang w:eastAsia="zh-TW" w:bidi="ar"/>
        </w:rPr>
        <w:t>*</w:t>
      </w:r>
      <w:r w:rsidRPr="00315971">
        <w:rPr>
          <w:rFonts w:hint="eastAsia"/>
          <w:sz w:val="21"/>
          <w:szCs w:val="21"/>
          <w:lang w:val="zh-TW" w:eastAsia="zh-TW" w:bidi="ar"/>
        </w:rPr>
        <w:t xml:space="preserve"> 本文爲</w:t>
      </w:r>
      <w:r w:rsidRPr="00315971">
        <w:rPr>
          <w:rFonts w:hint="eastAsia"/>
          <w:sz w:val="21"/>
          <w:szCs w:val="21"/>
          <w:lang w:eastAsia="zh-TW" w:bidi="ar"/>
        </w:rPr>
        <w:t>國家</w:t>
      </w:r>
      <w:r w:rsidRPr="00315971">
        <w:rPr>
          <w:rFonts w:hint="eastAsia"/>
          <w:sz w:val="21"/>
          <w:szCs w:val="21"/>
          <w:lang w:val="zh-TW" w:eastAsia="zh-TW" w:bidi="ar"/>
        </w:rPr>
        <w:t>社會科學</w:t>
      </w:r>
      <w:r w:rsidRPr="00315971">
        <w:rPr>
          <w:rFonts w:hint="eastAsia"/>
          <w:sz w:val="21"/>
          <w:szCs w:val="21"/>
          <w:lang w:eastAsia="zh-TW" w:bidi="ar"/>
        </w:rPr>
        <w:t>基金重大項目“戰國文字研究大數據雲平臺建設”（21&amp;ZD307）、“</w:t>
      </w:r>
      <w:r w:rsidRPr="00315971">
        <w:rPr>
          <w:rFonts w:hint="eastAsia"/>
          <w:sz w:val="21"/>
          <w:szCs w:val="21"/>
          <w:lang w:val="zh-TW" w:eastAsia="zh-TW" w:bidi="ar"/>
        </w:rPr>
        <w:t>古文字與中華文明傳承發展工程”</w:t>
      </w:r>
      <w:r w:rsidRPr="00315971">
        <w:rPr>
          <w:rFonts w:hint="eastAsia"/>
          <w:sz w:val="21"/>
          <w:szCs w:val="21"/>
          <w:lang w:eastAsia="zh-TW" w:bidi="ar"/>
        </w:rPr>
        <w:t>規劃項目“出土戰國文獻分類輯注”（G1423）</w:t>
      </w:r>
      <w:r w:rsidRPr="00315971">
        <w:rPr>
          <w:rFonts w:hint="eastAsia"/>
          <w:sz w:val="21"/>
          <w:szCs w:val="21"/>
          <w:lang w:val="zh-TW" w:eastAsia="zh-TW" w:bidi="ar"/>
        </w:rPr>
        <w:t>的階段性研究成果。</w:t>
      </w:r>
    </w:p>
  </w:endnote>
  <w:endnote w:id="2">
    <w:p w14:paraId="08371509" w14:textId="77777777" w:rsidR="00F730D5" w:rsidRPr="00315971" w:rsidRDefault="00F730D5" w:rsidP="00857FBD">
      <w:pPr>
        <w:pStyle w:val="ad"/>
        <w:jc w:val="both"/>
        <w:textAlignment w:val="center"/>
        <w:rPr>
          <w:rFonts w:hint="eastAsia"/>
          <w:sz w:val="21"/>
          <w:szCs w:val="21"/>
          <w:lang w:eastAsia="zh-TW"/>
        </w:rPr>
      </w:pPr>
      <w:r w:rsidRPr="00315971">
        <w:rPr>
          <w:rStyle w:val="afd"/>
          <w:sz w:val="21"/>
          <w:szCs w:val="21"/>
        </w:rPr>
        <w:endnoteRef/>
      </w:r>
      <w:r w:rsidRPr="00315971">
        <w:rPr>
          <w:rFonts w:hint="eastAsia"/>
          <w:sz w:val="21"/>
          <w:szCs w:val="21"/>
          <w:lang w:eastAsia="zh-TW"/>
        </w:rPr>
        <w:t xml:space="preserve"> 原字形作</w:t>
      </w:r>
      <w:r w:rsidRPr="00315971">
        <w:rPr>
          <w:noProof/>
          <w:sz w:val="21"/>
          <w:szCs w:val="21"/>
        </w:rPr>
        <w:drawing>
          <wp:inline distT="0" distB="0" distL="0" distR="0" wp14:anchorId="5ABCD0C7" wp14:editId="18A254F0">
            <wp:extent cx="207010" cy="262255"/>
            <wp:effectExtent l="0" t="0" r="0" b="0"/>
            <wp:docPr id="941876072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971">
        <w:rPr>
          <w:rFonts w:hint="eastAsia"/>
          <w:sz w:val="21"/>
          <w:szCs w:val="21"/>
          <w:lang w:eastAsia="zh-TW"/>
        </w:rPr>
        <w:t>，整理者隸定從里從勻，李天虹指出當為從土旬聲，“田”為“日”之改寫[李天虹：《釋〈唐虞之道〉中的“均”》，丁四新主編：《楚地簡帛思想研究（三）》，湖北教育出版社，2007年。參看武漢大學簡帛研究中心、荊門市博物館編著：《楚地出土戰國簡冊合集（一）·郭店楚墓竹簡》（下文簡稱“《楚地》”），文物出版社，2011年，第63頁注8]。按：李說可從，下文將會引到的黃傑、鄭怡寧文已表示讚同。與簡文此字相同的字形見於</w:t>
      </w:r>
      <w:r w:rsidRPr="00315971">
        <w:rPr>
          <w:noProof/>
          <w:sz w:val="21"/>
          <w:szCs w:val="21"/>
          <w:lang w:eastAsia="zh-TW"/>
        </w:rPr>
        <w:drawing>
          <wp:inline distT="0" distB="0" distL="0" distR="0" wp14:anchorId="26A12B38" wp14:editId="1003C762">
            <wp:extent cx="270510" cy="365760"/>
            <wp:effectExtent l="0" t="0" r="0" b="0"/>
            <wp:docPr id="2094027158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971">
        <w:rPr>
          <w:rFonts w:hint="eastAsia"/>
          <w:sz w:val="21"/>
          <w:szCs w:val="21"/>
          <w:lang w:eastAsia="zh-TW"/>
        </w:rPr>
        <w:t>上博二《容成氏》簡30“天下大和</w:t>
      </w:r>
      <w:r w:rsidRPr="00315971">
        <w:rPr>
          <w:noProof/>
          <w:sz w:val="21"/>
          <w:szCs w:val="21"/>
        </w:rPr>
        <w:drawing>
          <wp:inline distT="0" distB="0" distL="0" distR="0" wp14:anchorId="7C04AB60" wp14:editId="5A2F8B98">
            <wp:extent cx="142875" cy="142875"/>
            <wp:effectExtent l="0" t="0" r="0" b="0"/>
            <wp:docPr id="473662566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971">
        <w:rPr>
          <w:rFonts w:hint="eastAsia"/>
          <w:sz w:val="21"/>
          <w:szCs w:val="21"/>
          <w:lang w:eastAsia="zh-TW"/>
        </w:rPr>
        <w:t>（徇）”，楚簡中從土旬聲之字多見，如</w:t>
      </w:r>
      <w:r w:rsidRPr="00315971">
        <w:rPr>
          <w:noProof/>
          <w:sz w:val="21"/>
          <w:szCs w:val="21"/>
        </w:rPr>
        <w:drawing>
          <wp:inline distT="0" distB="0" distL="0" distR="0" wp14:anchorId="6D0B1AA9" wp14:editId="5E0ABA6E">
            <wp:extent cx="246380" cy="365760"/>
            <wp:effectExtent l="0" t="0" r="0" b="0"/>
            <wp:docPr id="963197423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971">
        <w:rPr>
          <w:rFonts w:hint="eastAsia"/>
          <w:sz w:val="21"/>
          <w:szCs w:val="21"/>
          <w:lang w:eastAsia="zh-TW"/>
        </w:rPr>
        <w:t>郭店《尊德義》簡34</w:t>
      </w:r>
      <w:r w:rsidRPr="00315971">
        <w:rPr>
          <w:noProof/>
          <w:sz w:val="21"/>
          <w:szCs w:val="21"/>
        </w:rPr>
        <w:drawing>
          <wp:inline distT="0" distB="0" distL="0" distR="0" wp14:anchorId="5C9F03AC" wp14:editId="5B5CC509">
            <wp:extent cx="325755" cy="357505"/>
            <wp:effectExtent l="0" t="0" r="0" b="0"/>
            <wp:docPr id="1225497532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971">
        <w:rPr>
          <w:rFonts w:hint="eastAsia"/>
          <w:sz w:val="21"/>
          <w:szCs w:val="21"/>
          <w:lang w:eastAsia="zh-TW"/>
        </w:rPr>
        <w:t>包山簡43，又如近出清華簡</w:t>
      </w:r>
      <w:r w:rsidRPr="00315971">
        <w:rPr>
          <w:noProof/>
          <w:sz w:val="21"/>
          <w:szCs w:val="21"/>
        </w:rPr>
        <w:drawing>
          <wp:inline distT="0" distB="0" distL="0" distR="0" wp14:anchorId="10FFC529" wp14:editId="3F3B7609">
            <wp:extent cx="254635" cy="365760"/>
            <wp:effectExtent l="0" t="0" r="0" b="0"/>
            <wp:docPr id="48006175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971">
        <w:rPr>
          <w:rFonts w:hint="eastAsia"/>
          <w:sz w:val="21"/>
          <w:szCs w:val="21"/>
          <w:lang w:eastAsia="zh-TW"/>
        </w:rPr>
        <w:t>清華三《說命中》簡4</w:t>
      </w:r>
      <w:r w:rsidRPr="00315971">
        <w:rPr>
          <w:noProof/>
          <w:sz w:val="21"/>
          <w:szCs w:val="21"/>
        </w:rPr>
        <w:drawing>
          <wp:inline distT="0" distB="0" distL="0" distR="0" wp14:anchorId="672BFD53" wp14:editId="1DA252FD">
            <wp:extent cx="207010" cy="365760"/>
            <wp:effectExtent l="0" t="0" r="0" b="0"/>
            <wp:docPr id="685687090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971">
        <w:rPr>
          <w:rFonts w:hint="eastAsia"/>
          <w:sz w:val="21"/>
          <w:szCs w:val="21"/>
          <w:lang w:eastAsia="zh-TW"/>
        </w:rPr>
        <w:t>清華三《芮良夫毖》簡9</w:t>
      </w:r>
      <w:r w:rsidRPr="00315971">
        <w:rPr>
          <w:noProof/>
          <w:sz w:val="21"/>
          <w:szCs w:val="21"/>
          <w:lang w:eastAsia="zh-TW"/>
        </w:rPr>
        <w:drawing>
          <wp:inline distT="0" distB="0" distL="0" distR="0" wp14:anchorId="775674B8" wp14:editId="4AC8BB9E">
            <wp:extent cx="294005" cy="365760"/>
            <wp:effectExtent l="0" t="0" r="0" b="0"/>
            <wp:docPr id="2075505649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971">
        <w:rPr>
          <w:rFonts w:hint="eastAsia"/>
          <w:sz w:val="21"/>
          <w:szCs w:val="21"/>
          <w:lang w:eastAsia="zh-TW"/>
        </w:rPr>
        <w:t>清華九《成人》簡24。對比可知，“田”顯然為“日”旁之訛。李文還認為“</w:t>
      </w:r>
      <w:r w:rsidRPr="00315971">
        <w:rPr>
          <w:noProof/>
          <w:sz w:val="21"/>
          <w:szCs w:val="21"/>
        </w:rPr>
        <w:drawing>
          <wp:inline distT="0" distB="0" distL="0" distR="0" wp14:anchorId="11D27125" wp14:editId="514B5CA0">
            <wp:extent cx="142875" cy="142875"/>
            <wp:effectExtent l="0" t="0" r="0" b="0"/>
            <wp:docPr id="2100860870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971">
        <w:rPr>
          <w:rFonts w:hint="eastAsia"/>
          <w:sz w:val="21"/>
          <w:szCs w:val="21"/>
          <w:lang w:eastAsia="zh-TW"/>
        </w:rPr>
        <w:t>”屬“均”字異體，此說則不可從。陳劍認為屬“均”之繁體，亦不可信。陳說見北京大學《儒藏》編纂與研究中心編、陳劍校點：《儒藏·精華編二八二·出土文獻類》，北京大學出版社，2020年，第580頁注2。“</w:t>
      </w:r>
      <w:r w:rsidRPr="00315971">
        <w:rPr>
          <w:noProof/>
          <w:sz w:val="21"/>
          <w:szCs w:val="21"/>
        </w:rPr>
        <w:drawing>
          <wp:inline distT="0" distB="0" distL="0" distR="0" wp14:anchorId="532D4B34" wp14:editId="0BAAE502">
            <wp:extent cx="142875" cy="142875"/>
            <wp:effectExtent l="0" t="0" r="0" b="0"/>
            <wp:docPr id="2081182250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971">
        <w:rPr>
          <w:rFonts w:hint="eastAsia"/>
          <w:sz w:val="21"/>
          <w:szCs w:val="21"/>
          <w:lang w:eastAsia="zh-TW"/>
        </w:rPr>
        <w:t>”雖然數見讀為平均之“均”的用例，但是也有一些辭例是“均”的含義無法解釋的，例如，在本篇簡2當理解為徇求（私利），上引《容成氏》“三【29】年而天下之人亡訟獄者，天下大和</w:t>
      </w:r>
      <w:r w:rsidRPr="00315971">
        <w:rPr>
          <w:noProof/>
          <w:sz w:val="21"/>
          <w:szCs w:val="21"/>
        </w:rPr>
        <w:drawing>
          <wp:inline distT="0" distB="0" distL="0" distR="0" wp14:anchorId="36202C68" wp14:editId="0B5471D8">
            <wp:extent cx="142875" cy="142875"/>
            <wp:effectExtent l="0" t="0" r="0" b="0"/>
            <wp:docPr id="1300359170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971">
        <w:rPr>
          <w:rFonts w:hint="eastAsia"/>
          <w:sz w:val="21"/>
          <w:szCs w:val="21"/>
          <w:lang w:eastAsia="zh-TW"/>
        </w:rPr>
        <w:t>（徇）”為順義，和睦融洽。《芮良夫毖》簡8+9“兄弟慝矣，恐不和【8】</w:t>
      </w:r>
      <w:r w:rsidRPr="00315971">
        <w:rPr>
          <w:noProof/>
          <w:sz w:val="21"/>
          <w:szCs w:val="21"/>
        </w:rPr>
        <w:drawing>
          <wp:inline distT="0" distB="0" distL="0" distR="0" wp14:anchorId="41A019B3" wp14:editId="3606C4A4">
            <wp:extent cx="142875" cy="142875"/>
            <wp:effectExtent l="0" t="0" r="0" b="0"/>
            <wp:docPr id="1741392907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971">
        <w:rPr>
          <w:rFonts w:hint="eastAsia"/>
          <w:sz w:val="21"/>
          <w:szCs w:val="21"/>
          <w:lang w:eastAsia="zh-TW"/>
        </w:rPr>
        <w:t>，屯圓滿溢，曰余未均。”“</w:t>
      </w:r>
      <w:r w:rsidRPr="00315971">
        <w:rPr>
          <w:rFonts w:ascii="宋体-ExtB" w:eastAsia="宋体-ExtB" w:hAnsi="宋体-ExtB" w:cs="宋体-ExtB" w:hint="eastAsia"/>
          <w:sz w:val="21"/>
          <w:szCs w:val="21"/>
          <w:lang w:eastAsia="zh-TW"/>
        </w:rPr>
        <w:t>𡋕</w:t>
      </w:r>
      <w:r w:rsidRPr="00315971">
        <w:rPr>
          <w:rFonts w:cs="Courier New" w:hint="eastAsia"/>
          <w:sz w:val="21"/>
          <w:szCs w:val="21"/>
          <w:lang w:eastAsia="zh-TW"/>
        </w:rPr>
        <w:t>”“</w:t>
      </w:r>
      <w:r w:rsidRPr="00315971">
        <w:rPr>
          <w:rFonts w:hint="eastAsia"/>
          <w:sz w:val="21"/>
          <w:szCs w:val="21"/>
          <w:lang w:eastAsia="zh-TW"/>
        </w:rPr>
        <w:t>均”並見，顯然非一字，當讀為“徇”，順也，“和徇”同上引《容成氏》文。《說命中》“若藥，女（如）不</w:t>
      </w:r>
      <w:r w:rsidRPr="00315971">
        <w:rPr>
          <w:noProof/>
          <w:sz w:val="21"/>
          <w:szCs w:val="21"/>
        </w:rPr>
        <w:drawing>
          <wp:inline distT="0" distB="0" distL="0" distR="0" wp14:anchorId="3CB28E89" wp14:editId="2912F823">
            <wp:extent cx="142875" cy="142875"/>
            <wp:effectExtent l="0" t="0" r="0" b="0"/>
            <wp:docPr id="419719417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971">
        <w:rPr>
          <w:rFonts w:hint="eastAsia"/>
          <w:sz w:val="21"/>
          <w:szCs w:val="21"/>
          <w:lang w:eastAsia="zh-TW"/>
        </w:rPr>
        <w:t>（瞑）</w:t>
      </w:r>
      <w:r w:rsidRPr="00315971">
        <w:rPr>
          <w:noProof/>
          <w:sz w:val="21"/>
          <w:szCs w:val="21"/>
        </w:rPr>
        <w:drawing>
          <wp:inline distT="0" distB="0" distL="0" distR="0" wp14:anchorId="57C60C70" wp14:editId="63D80797">
            <wp:extent cx="142875" cy="142875"/>
            <wp:effectExtent l="0" t="0" r="0" b="0"/>
            <wp:docPr id="1164458825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971">
        <w:rPr>
          <w:rFonts w:hint="eastAsia"/>
          <w:sz w:val="21"/>
          <w:szCs w:val="21"/>
          <w:lang w:eastAsia="zh-TW"/>
        </w:rPr>
        <w:t>（眩），越疾罔瘳。”讀為“眩”，與“均”無關。“徇求”“順”“眩”等義（有的可能屬於假借）從來不用“均”，說明“</w:t>
      </w:r>
      <w:r w:rsidRPr="00315971">
        <w:rPr>
          <w:noProof/>
          <w:sz w:val="21"/>
          <w:szCs w:val="21"/>
        </w:rPr>
        <w:drawing>
          <wp:inline distT="0" distB="0" distL="0" distR="0" wp14:anchorId="71A82310" wp14:editId="5A561CA4">
            <wp:extent cx="142875" cy="142875"/>
            <wp:effectExtent l="0" t="0" r="0" b="0"/>
            <wp:docPr id="813090257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971">
        <w:rPr>
          <w:rFonts w:cs="Courier New" w:hint="eastAsia"/>
          <w:sz w:val="21"/>
          <w:szCs w:val="21"/>
          <w:lang w:eastAsia="zh-TW"/>
        </w:rPr>
        <w:t>”與“均”既非異體也非繁體，二者根本不是一個字。我們認為</w:t>
      </w:r>
      <w:r w:rsidRPr="00315971">
        <w:rPr>
          <w:rFonts w:hint="eastAsia"/>
          <w:sz w:val="21"/>
          <w:szCs w:val="21"/>
          <w:lang w:eastAsia="zh-TW"/>
        </w:rPr>
        <w:t>“</w:t>
      </w:r>
      <w:r w:rsidRPr="00315971">
        <w:rPr>
          <w:noProof/>
          <w:sz w:val="21"/>
          <w:szCs w:val="21"/>
        </w:rPr>
        <w:drawing>
          <wp:inline distT="0" distB="0" distL="0" distR="0" wp14:anchorId="349594EC" wp14:editId="697EF74D">
            <wp:extent cx="142875" cy="142875"/>
            <wp:effectExtent l="0" t="0" r="0" b="0"/>
            <wp:docPr id="771919108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971">
        <w:rPr>
          <w:rFonts w:cs="Courier New" w:hint="eastAsia"/>
          <w:sz w:val="21"/>
          <w:szCs w:val="21"/>
          <w:lang w:eastAsia="zh-TW"/>
        </w:rPr>
        <w:t>”大概是訓為順的</w:t>
      </w:r>
      <w:r w:rsidRPr="00315971">
        <w:rPr>
          <w:rFonts w:hint="eastAsia"/>
          <w:sz w:val="21"/>
          <w:szCs w:val="21"/>
          <w:lang w:eastAsia="zh-TW"/>
        </w:rPr>
        <w:t>“徇”之本字</w:t>
      </w:r>
      <w:r w:rsidRPr="00315971">
        <w:rPr>
          <w:rFonts w:cs="Courier New" w:hint="eastAsia"/>
          <w:sz w:val="21"/>
          <w:szCs w:val="21"/>
          <w:lang w:eastAsia="zh-TW"/>
        </w:rPr>
        <w:t>，與“均”音義皆近，因此有時候可以替換。</w:t>
      </w:r>
    </w:p>
  </w:endnote>
  <w:endnote w:id="3">
    <w:p w14:paraId="442EB1DE" w14:textId="77777777" w:rsidR="00F730D5" w:rsidRPr="00315971" w:rsidRDefault="00F730D5" w:rsidP="00857FBD">
      <w:pPr>
        <w:pStyle w:val="ad"/>
        <w:jc w:val="both"/>
        <w:textAlignment w:val="center"/>
        <w:rPr>
          <w:rFonts w:hint="eastAsia"/>
          <w:sz w:val="21"/>
          <w:szCs w:val="21"/>
          <w:lang w:eastAsia="zh-TW"/>
        </w:rPr>
      </w:pPr>
      <w:r w:rsidRPr="00315971">
        <w:rPr>
          <w:rStyle w:val="afd"/>
          <w:sz w:val="21"/>
          <w:szCs w:val="21"/>
        </w:rPr>
        <w:endnoteRef/>
      </w:r>
      <w:r w:rsidRPr="00315971">
        <w:rPr>
          <w:rFonts w:hint="eastAsia"/>
          <w:sz w:val="21"/>
          <w:szCs w:val="21"/>
          <w:lang w:eastAsia="zh-TW"/>
        </w:rPr>
        <w:t xml:space="preserve"> </w:t>
      </w:r>
      <w:bookmarkStart w:id="4" w:name="_Hlk196731404"/>
      <w:r w:rsidRPr="00315971">
        <w:rPr>
          <w:rFonts w:hint="eastAsia"/>
          <w:sz w:val="21"/>
          <w:szCs w:val="21"/>
          <w:lang w:eastAsia="zh-TW"/>
        </w:rPr>
        <w:t>荊門市博物館：《郭店楚墓竹簡》（以下簡稱“《郭店》”，裘按意見皆出於此書，不另注），文物出版社，1998年，第159頁注6。白於藍：《簡帛古書通假字大系》，福建人民出版社，2017年，第1009頁。李銳、王晉卿校釋：《郭店楚墓竹簡十二種校釋·唐虞之道》，北京大學出版社，2023年，第143頁。</w:t>
      </w:r>
      <w:bookmarkEnd w:id="4"/>
      <w:r w:rsidRPr="00315971">
        <w:rPr>
          <w:rFonts w:hint="eastAsia"/>
          <w:sz w:val="21"/>
          <w:szCs w:val="21"/>
          <w:lang w:eastAsia="zh-TW"/>
        </w:rPr>
        <w:t>黃傑、鄭怡寧：《郭店簡〈唐虞之道〉“身窮不均”考》，《簡帛》第26輯，2023年。</w:t>
      </w:r>
    </w:p>
  </w:endnote>
  <w:endnote w:id="4">
    <w:p w14:paraId="4E6A62F2" w14:textId="77777777" w:rsidR="00F730D5" w:rsidRPr="00315971" w:rsidRDefault="00F730D5" w:rsidP="00857FBD">
      <w:pPr>
        <w:pStyle w:val="ad"/>
        <w:jc w:val="both"/>
        <w:textAlignment w:val="center"/>
        <w:rPr>
          <w:rFonts w:hint="eastAsia"/>
          <w:sz w:val="21"/>
          <w:szCs w:val="21"/>
          <w:lang w:eastAsia="zh-TW"/>
        </w:rPr>
      </w:pPr>
      <w:r w:rsidRPr="00315971">
        <w:rPr>
          <w:rStyle w:val="afd"/>
          <w:sz w:val="21"/>
          <w:szCs w:val="21"/>
        </w:rPr>
        <w:endnoteRef/>
      </w:r>
      <w:r w:rsidRPr="00315971">
        <w:rPr>
          <w:rFonts w:hint="eastAsia"/>
          <w:sz w:val="21"/>
          <w:szCs w:val="21"/>
          <w:lang w:eastAsia="zh-TW"/>
        </w:rPr>
        <w:t xml:space="preserve"> 李鋭：《讀上博四札記（一）》，簡帛研究網，2005年2月20日。</w:t>
      </w:r>
    </w:p>
  </w:endnote>
  <w:endnote w:id="5">
    <w:p w14:paraId="6262BAD3" w14:textId="77777777" w:rsidR="00F730D5" w:rsidRPr="00315971" w:rsidRDefault="00F730D5" w:rsidP="00857FBD">
      <w:pPr>
        <w:textAlignment w:val="center"/>
        <w:rPr>
          <w:rFonts w:hint="eastAsia"/>
          <w:lang w:eastAsia="zh-TW"/>
        </w:rPr>
      </w:pPr>
      <w:r w:rsidRPr="00315971">
        <w:rPr>
          <w:rStyle w:val="afd"/>
          <w:sz w:val="21"/>
        </w:rPr>
        <w:endnoteRef/>
      </w:r>
      <w:r w:rsidRPr="00315971">
        <w:rPr>
          <w:rFonts w:hint="eastAsia"/>
          <w:lang w:eastAsia="zh-TW"/>
        </w:rPr>
        <w:t xml:space="preserve"> 參看滕壬生：《楚系簡帛文字編》（增訂本），湖北教育出版社，2023年，第1246-1247頁。</w:t>
      </w:r>
      <w:r w:rsidRPr="00315971">
        <w:rPr>
          <w:rFonts w:hint="eastAsia"/>
          <w:kern w:val="0"/>
          <w:lang w:eastAsia="zh-TW"/>
        </w:rPr>
        <w:t>{窮}一般用“窮”或“</w:t>
      </w:r>
      <w:r w:rsidRPr="00315971">
        <w:rPr>
          <w:noProof/>
        </w:rPr>
        <w:drawing>
          <wp:inline distT="0" distB="0" distL="0" distR="0" wp14:anchorId="46E22F72" wp14:editId="6E430686">
            <wp:extent cx="127000" cy="127000"/>
            <wp:effectExtent l="0" t="0" r="0" b="0"/>
            <wp:docPr id="74156668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971">
        <w:rPr>
          <w:rFonts w:hint="eastAsia"/>
          <w:kern w:val="0"/>
          <w:lang w:eastAsia="zh-TW"/>
        </w:rPr>
        <w:t>”表示，前者見於《成之聞之》簡11、14“窮源反本”，後者見於《窮達以時》，但也有用從宀從躳之字者，</w:t>
      </w:r>
      <w:r w:rsidRPr="00315971">
        <w:rPr>
          <w:noProof/>
        </w:rPr>
        <w:drawing>
          <wp:inline distT="0" distB="0" distL="0" distR="0" wp14:anchorId="1C5E21EB" wp14:editId="6247E2C0">
            <wp:extent cx="246380" cy="294005"/>
            <wp:effectExtent l="0" t="0" r="0" b="0"/>
            <wp:docPr id="1669074202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971">
        <w:rPr>
          <w:rFonts w:hint="eastAsia"/>
          <w:kern w:val="0"/>
          <w:lang w:eastAsia="zh-TW"/>
        </w:rPr>
        <w:t>清華五《湯在啻門》簡10“氣屈乃終，百志皆窮”。包山簡從宀從躳之字一般表示“躳”。</w:t>
      </w:r>
    </w:p>
  </w:endnote>
  <w:endnote w:id="6">
    <w:p w14:paraId="00A6137D" w14:textId="77777777" w:rsidR="00F730D5" w:rsidRPr="00315971" w:rsidRDefault="00F730D5" w:rsidP="00857FBD">
      <w:pPr>
        <w:pStyle w:val="ad"/>
        <w:jc w:val="both"/>
        <w:textAlignment w:val="center"/>
        <w:rPr>
          <w:rFonts w:hint="eastAsia"/>
          <w:sz w:val="21"/>
          <w:szCs w:val="21"/>
          <w:lang w:eastAsia="zh-TW"/>
        </w:rPr>
      </w:pPr>
      <w:r w:rsidRPr="00315971">
        <w:rPr>
          <w:rStyle w:val="afd"/>
          <w:sz w:val="21"/>
          <w:szCs w:val="21"/>
        </w:rPr>
        <w:endnoteRef/>
      </w:r>
      <w:r w:rsidRPr="00315971">
        <w:rPr>
          <w:rFonts w:hint="eastAsia"/>
          <w:sz w:val="21"/>
          <w:szCs w:val="21"/>
          <w:lang w:eastAsia="zh-TW"/>
        </w:rPr>
        <w:t xml:space="preserve"> 裘錫圭、陳劍：《說徇、讂》，朱慶之等編：《漢語歷史語言學的傳承與發展：張永言先生從教六十五周年紀念文集》，復旦大學出版社，2016年，第262頁。</w:t>
      </w:r>
    </w:p>
  </w:endnote>
  <w:endnote w:id="7">
    <w:p w14:paraId="7E4645EC" w14:textId="77777777" w:rsidR="00F730D5" w:rsidRPr="00315971" w:rsidRDefault="00F730D5" w:rsidP="00857FBD">
      <w:pPr>
        <w:pStyle w:val="ad"/>
        <w:jc w:val="both"/>
        <w:textAlignment w:val="center"/>
        <w:rPr>
          <w:rFonts w:hint="eastAsia"/>
          <w:sz w:val="21"/>
          <w:szCs w:val="21"/>
          <w:lang w:eastAsia="zh-TW"/>
        </w:rPr>
      </w:pPr>
      <w:r w:rsidRPr="00315971">
        <w:rPr>
          <w:rStyle w:val="afd"/>
          <w:sz w:val="21"/>
          <w:szCs w:val="21"/>
        </w:rPr>
        <w:endnoteRef/>
      </w:r>
      <w:r w:rsidRPr="00315971">
        <w:rPr>
          <w:rFonts w:hint="eastAsia"/>
          <w:sz w:val="21"/>
          <w:szCs w:val="21"/>
          <w:lang w:eastAsia="zh-TW"/>
        </w:rPr>
        <w:t xml:space="preserve"> 李守奎：《楚文字編》，華東師範大學出版社，2003年，第876頁。</w:t>
      </w:r>
    </w:p>
  </w:endnote>
  <w:endnote w:id="8">
    <w:p w14:paraId="68F572AF" w14:textId="77777777" w:rsidR="00F730D5" w:rsidRPr="00315971" w:rsidRDefault="00F730D5" w:rsidP="00857FBD">
      <w:pPr>
        <w:pStyle w:val="ad"/>
        <w:jc w:val="both"/>
        <w:textAlignment w:val="center"/>
        <w:rPr>
          <w:rFonts w:hint="eastAsia"/>
          <w:sz w:val="21"/>
          <w:szCs w:val="21"/>
          <w:lang w:eastAsia="zh-TW"/>
        </w:rPr>
      </w:pPr>
      <w:r w:rsidRPr="00315971">
        <w:rPr>
          <w:rStyle w:val="afd"/>
          <w:sz w:val="21"/>
          <w:szCs w:val="21"/>
        </w:rPr>
        <w:endnoteRef/>
      </w:r>
      <w:r w:rsidRPr="00315971">
        <w:rPr>
          <w:rFonts w:hint="eastAsia"/>
          <w:sz w:val="21"/>
          <w:szCs w:val="21"/>
          <w:lang w:eastAsia="zh-TW"/>
        </w:rPr>
        <w:t xml:space="preserve"> 參看裘錫圭：《甲骨文字考釋（八篇）·八、甲骨文中重文和合文重複偏旁的省略》，《裘錫圭學術文集·甲骨文卷》，復旦大學出版社，2012年。郭店《五行》簡20+21“不聰不明，[不明不聖，]不聖不【20】智”，裘按指出“不明不聖”四字下可能脫去重文號。《郭店》152頁注25。李銳亦曾有此意見，他說“所謂的‘身窮’，本為合文，疑當從包山楚簡、天星觀卜辭、望山一號墓卜辭中相近之合文，釋為‘躬身’。”見上引李鋭：《讀上博四札記（一）》。按：這些竹簡一般作“躳身”二字，未見作合文者，應該說“躳身”省略或脫去合文只是據文例和本篇整體用字訛誤現象的一種推測，但這種可能性不能完全排除。</w:t>
      </w:r>
    </w:p>
  </w:endnote>
  <w:endnote w:id="9">
    <w:p w14:paraId="2B3D8402" w14:textId="77777777" w:rsidR="00F730D5" w:rsidRPr="00315971" w:rsidRDefault="00F730D5" w:rsidP="00857FBD">
      <w:pPr>
        <w:pStyle w:val="ad"/>
        <w:jc w:val="both"/>
        <w:textAlignment w:val="center"/>
        <w:rPr>
          <w:rFonts w:hint="eastAsia"/>
          <w:sz w:val="21"/>
          <w:szCs w:val="21"/>
          <w:lang w:eastAsia="zh-TW"/>
        </w:rPr>
      </w:pPr>
      <w:r w:rsidRPr="00315971">
        <w:rPr>
          <w:rStyle w:val="afd"/>
          <w:sz w:val="21"/>
          <w:szCs w:val="21"/>
        </w:rPr>
        <w:endnoteRef/>
      </w:r>
      <w:r w:rsidRPr="00315971">
        <w:rPr>
          <w:rFonts w:hint="eastAsia"/>
          <w:sz w:val="21"/>
          <w:szCs w:val="21"/>
          <w:lang w:eastAsia="zh-TW"/>
        </w:rPr>
        <w:t xml:space="preserve"> 《郭店》，第159頁注16；《楚地》，第68頁注60。</w:t>
      </w:r>
    </w:p>
  </w:endnote>
  <w:endnote w:id="10">
    <w:p w14:paraId="71FE11CC" w14:textId="77777777" w:rsidR="00F730D5" w:rsidRPr="00315971" w:rsidRDefault="00F730D5" w:rsidP="00857FBD">
      <w:pPr>
        <w:pStyle w:val="ad"/>
        <w:jc w:val="both"/>
        <w:textAlignment w:val="center"/>
        <w:rPr>
          <w:rFonts w:hint="eastAsia"/>
          <w:sz w:val="21"/>
          <w:szCs w:val="21"/>
          <w:lang w:eastAsia="zh-TW"/>
        </w:rPr>
      </w:pPr>
      <w:r w:rsidRPr="00315971">
        <w:rPr>
          <w:rStyle w:val="afd"/>
          <w:sz w:val="21"/>
          <w:szCs w:val="21"/>
        </w:rPr>
        <w:endnoteRef/>
      </w:r>
      <w:r w:rsidRPr="00315971">
        <w:rPr>
          <w:rFonts w:hint="eastAsia"/>
          <w:sz w:val="21"/>
          <w:szCs w:val="21"/>
          <w:lang w:eastAsia="zh-TW"/>
        </w:rPr>
        <w:t xml:space="preserve"> 林志鵬：《郭店楚墓竹簡〈唐虞之道〉重探》，《楚地出土簡帛思想研究（三）》，湖北教育出版社，2007年。參看《楚地》，第68頁注61。</w:t>
      </w:r>
    </w:p>
  </w:endnote>
  <w:endnote w:id="11">
    <w:p w14:paraId="3AFDAD7B" w14:textId="77777777" w:rsidR="00F730D5" w:rsidRPr="00315971" w:rsidRDefault="00F730D5" w:rsidP="00857FBD">
      <w:pPr>
        <w:pStyle w:val="ad"/>
        <w:jc w:val="both"/>
        <w:textAlignment w:val="center"/>
        <w:rPr>
          <w:rFonts w:hint="eastAsia"/>
          <w:sz w:val="21"/>
          <w:szCs w:val="21"/>
          <w:lang w:eastAsia="zh-TW"/>
        </w:rPr>
      </w:pPr>
      <w:r w:rsidRPr="00315971">
        <w:rPr>
          <w:rStyle w:val="afd"/>
          <w:sz w:val="21"/>
          <w:szCs w:val="21"/>
        </w:rPr>
        <w:endnoteRef/>
      </w:r>
      <w:r w:rsidRPr="00315971">
        <w:rPr>
          <w:rFonts w:hint="eastAsia"/>
          <w:sz w:val="21"/>
          <w:szCs w:val="21"/>
          <w:lang w:eastAsia="zh-TW"/>
        </w:rPr>
        <w:t xml:space="preserve"> </w:t>
      </w:r>
      <w:r w:rsidRPr="00315971">
        <w:rPr>
          <w:noProof/>
          <w:sz w:val="21"/>
          <w:szCs w:val="21"/>
        </w:rPr>
        <w:drawing>
          <wp:inline distT="0" distB="0" distL="0" distR="0" wp14:anchorId="7AD2CA4B" wp14:editId="03A7AAB1">
            <wp:extent cx="222885" cy="357505"/>
            <wp:effectExtent l="0" t="0" r="0" b="0"/>
            <wp:docPr id="1526869186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971">
        <w:rPr>
          <w:rFonts w:hint="eastAsia"/>
          <w:sz w:val="21"/>
          <w:szCs w:val="21"/>
          <w:lang w:eastAsia="zh-TW"/>
        </w:rPr>
        <w:t>，李芳梅、劉洪濤指出可與</w:t>
      </w:r>
      <w:r w:rsidRPr="00315971">
        <w:rPr>
          <w:noProof/>
          <w:sz w:val="21"/>
          <w:szCs w:val="21"/>
        </w:rPr>
        <w:drawing>
          <wp:inline distT="0" distB="0" distL="0" distR="0" wp14:anchorId="524BFD20" wp14:editId="483A90A3">
            <wp:extent cx="278130" cy="365760"/>
            <wp:effectExtent l="0" t="0" r="0" b="0"/>
            <wp:docPr id="1171083147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971">
        <w:rPr>
          <w:rFonts w:hint="eastAsia"/>
          <w:sz w:val="21"/>
          <w:szCs w:val="21"/>
          <w:lang w:eastAsia="zh-TW"/>
        </w:rPr>
        <w:t>伯</w:t>
      </w:r>
      <w:r w:rsidRPr="00315971">
        <w:rPr>
          <w:rFonts w:ascii="金文宋體" w:eastAsia="金文宋體" w:cs="金文宋體" w:hint="eastAsia"/>
          <w:kern w:val="0"/>
          <w:sz w:val="21"/>
          <w:szCs w:val="21"/>
          <w:lang w:val="zh-CN"/>
        </w:rPr>
        <w:t>빞</w:t>
      </w:r>
      <w:r w:rsidRPr="00315971">
        <w:rPr>
          <w:rFonts w:hint="eastAsia"/>
          <w:sz w:val="21"/>
          <w:szCs w:val="21"/>
          <w:lang w:eastAsia="zh-TW"/>
        </w:rPr>
        <w:t>鬲《集成》592“……之孫伯</w:t>
      </w:r>
      <w:r w:rsidRPr="00315971">
        <w:rPr>
          <w:rFonts w:ascii="金文宋體" w:eastAsia="金文宋體" w:cs="金文宋體" w:hint="eastAsia"/>
          <w:kern w:val="0"/>
          <w:sz w:val="21"/>
          <w:szCs w:val="21"/>
          <w:lang w:val="zh-CN"/>
        </w:rPr>
        <w:t>빞</w:t>
      </w:r>
      <w:r w:rsidRPr="00315971">
        <w:rPr>
          <w:rFonts w:hint="eastAsia"/>
          <w:sz w:val="21"/>
          <w:szCs w:val="21"/>
          <w:lang w:eastAsia="zh-TW"/>
        </w:rPr>
        <w:t>自作尊鬲”類比，讀為“繼”。“不繼”，李芳梅、劉洪濤認為是禪讓，意即舜準備禪讓，所以自己不驕傲。李芳梅、劉洪濤：《郭店竹簡〈唐虞之道〉“</w:t>
      </w:r>
      <w:r w:rsidRPr="00315971">
        <w:rPr>
          <w:noProof/>
          <w:sz w:val="21"/>
          <w:szCs w:val="21"/>
          <w:lang w:eastAsia="zh-TW"/>
        </w:rPr>
        <w:drawing>
          <wp:inline distT="0" distB="0" distL="0" distR="0" wp14:anchorId="09CB9928" wp14:editId="62BF4223">
            <wp:extent cx="142875" cy="142875"/>
            <wp:effectExtent l="0" t="0" r="0" b="0"/>
            <wp:docPr id="1575078430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971">
        <w:rPr>
          <w:rFonts w:hint="eastAsia"/>
          <w:sz w:val="21"/>
          <w:szCs w:val="21"/>
          <w:lang w:eastAsia="zh-TW"/>
        </w:rPr>
        <w:t>”字考釋——兼論上博簡〈凡物流形〉和天星觀卜筮簡的“繫”字》，《簡帛》第25輯，2022年，第26頁。按：我認為“不繼”的意思是舜是靠自己的美德得到堯禪讓而成為天子的，不是來自世係的繼承，所以他不驕傲。無才無德的統治者往往會驕傲，因為他們的得來並非靠自身價值。本文鼓吹的禪讓僅有一例，就是堯禪讓給舜，用來證明禪讓正確的就是被禪讓者舜成為了一個賢明的天子，舜自己對禪讓的態度並沒有像傳世文獻那樣有禪讓給禹來表明。所以“不繼”不能是舜認定要禪讓給別人，而只能說明是堯禪讓導致了舜不驕。</w:t>
      </w:r>
    </w:p>
  </w:endnote>
  <w:endnote w:id="12">
    <w:p w14:paraId="30F51097" w14:textId="77777777" w:rsidR="00F730D5" w:rsidRPr="00315971" w:rsidRDefault="00F730D5" w:rsidP="00857FBD">
      <w:pPr>
        <w:pStyle w:val="ad"/>
        <w:jc w:val="both"/>
        <w:textAlignment w:val="center"/>
        <w:rPr>
          <w:rFonts w:hint="eastAsia"/>
          <w:sz w:val="21"/>
          <w:szCs w:val="21"/>
          <w:lang w:eastAsia="zh-TW"/>
        </w:rPr>
      </w:pPr>
      <w:r w:rsidRPr="00315971">
        <w:rPr>
          <w:rStyle w:val="afd"/>
          <w:sz w:val="21"/>
          <w:szCs w:val="21"/>
        </w:rPr>
        <w:endnoteRef/>
      </w:r>
      <w:r w:rsidRPr="00315971">
        <w:rPr>
          <w:rFonts w:hint="eastAsia"/>
          <w:sz w:val="21"/>
          <w:szCs w:val="21"/>
          <w:lang w:eastAsia="zh-TW"/>
        </w:rPr>
        <w:t xml:space="preserve"> 《郭店》，第158頁。</w:t>
      </w:r>
    </w:p>
  </w:endnote>
  <w:endnote w:id="13">
    <w:p w14:paraId="448A4094" w14:textId="77777777" w:rsidR="00F730D5" w:rsidRPr="00315971" w:rsidRDefault="00F730D5" w:rsidP="00857FBD">
      <w:pPr>
        <w:pStyle w:val="ad"/>
        <w:jc w:val="both"/>
        <w:textAlignment w:val="center"/>
        <w:rPr>
          <w:rFonts w:hint="eastAsia"/>
          <w:sz w:val="21"/>
          <w:szCs w:val="21"/>
          <w:lang w:eastAsia="zh-TW"/>
        </w:rPr>
      </w:pPr>
      <w:r w:rsidRPr="00315971">
        <w:rPr>
          <w:rStyle w:val="afd"/>
          <w:sz w:val="21"/>
          <w:szCs w:val="21"/>
        </w:rPr>
        <w:endnoteRef/>
      </w:r>
      <w:r w:rsidRPr="00315971">
        <w:rPr>
          <w:rFonts w:hint="eastAsia"/>
          <w:sz w:val="21"/>
          <w:szCs w:val="21"/>
          <w:lang w:eastAsia="zh-TW"/>
        </w:rPr>
        <w:t xml:space="preserve"> 劉樂賢：《郭店楚簡雜考（五則）》，《古文字研究》第22輯，中華書局，2000年。《楚地》，第67頁注54。李銳、王晉卿：《郭店楚墓竹簡十二種校釋·唐虞之道》，第152頁注25。</w:t>
      </w:r>
    </w:p>
  </w:endnote>
  <w:endnote w:id="14">
    <w:p w14:paraId="06DC51CC" w14:textId="77777777" w:rsidR="00F730D5" w:rsidRPr="00315971" w:rsidRDefault="00F730D5" w:rsidP="00857FBD">
      <w:pPr>
        <w:pStyle w:val="ad"/>
        <w:jc w:val="both"/>
        <w:textAlignment w:val="center"/>
        <w:rPr>
          <w:rFonts w:hint="eastAsia"/>
          <w:sz w:val="21"/>
          <w:szCs w:val="21"/>
          <w:lang w:eastAsia="zh-TW"/>
        </w:rPr>
      </w:pPr>
      <w:r w:rsidRPr="00315971">
        <w:rPr>
          <w:rStyle w:val="afd"/>
          <w:sz w:val="21"/>
          <w:szCs w:val="21"/>
        </w:rPr>
        <w:endnoteRef/>
      </w:r>
      <w:r w:rsidRPr="00315971">
        <w:rPr>
          <w:rFonts w:hint="eastAsia"/>
          <w:sz w:val="21"/>
          <w:szCs w:val="21"/>
          <w:lang w:eastAsia="zh-TW"/>
        </w:rPr>
        <w:t xml:space="preserve"> 讀“粻”從陳劍說。陳劍：《說〈性自命出〉的“牛生而倀”及相關問題》，復旦大學出土文獻與古文字研究中心網站，2021年10月29日。</w:t>
      </w:r>
    </w:p>
  </w:endnote>
  <w:endnote w:id="15">
    <w:p w14:paraId="4D3AC564" w14:textId="77777777" w:rsidR="00F730D5" w:rsidRPr="00315971" w:rsidRDefault="00F730D5" w:rsidP="00857FBD">
      <w:pPr>
        <w:pStyle w:val="ad"/>
        <w:jc w:val="both"/>
        <w:textAlignment w:val="center"/>
        <w:rPr>
          <w:rFonts w:hint="eastAsia"/>
          <w:sz w:val="21"/>
          <w:szCs w:val="21"/>
          <w:lang w:eastAsia="zh-TW"/>
        </w:rPr>
      </w:pPr>
      <w:r w:rsidRPr="00315971">
        <w:rPr>
          <w:rStyle w:val="afd"/>
          <w:sz w:val="21"/>
          <w:szCs w:val="21"/>
        </w:rPr>
        <w:endnoteRef/>
      </w:r>
      <w:r w:rsidRPr="00315971">
        <w:rPr>
          <w:rFonts w:hint="eastAsia"/>
          <w:sz w:val="21"/>
          <w:szCs w:val="21"/>
          <w:lang w:eastAsia="zh-TW"/>
        </w:rPr>
        <w:t xml:space="preserve"> </w:t>
      </w:r>
      <w:r w:rsidRPr="00315971">
        <w:rPr>
          <w:rFonts w:hint="eastAsia"/>
          <w:kern w:val="0"/>
          <w:sz w:val="21"/>
          <w:szCs w:val="21"/>
          <w:lang w:eastAsia="zh-TW"/>
        </w:rPr>
        <w:t>陳偉補“也，人生”三字。</w:t>
      </w:r>
      <w:r w:rsidRPr="00315971">
        <w:rPr>
          <w:rFonts w:hint="eastAsia"/>
          <w:sz w:val="21"/>
          <w:szCs w:val="21"/>
          <w:lang w:eastAsia="zh-TW"/>
        </w:rPr>
        <w:t>陳偉：《郭店竹書別釋》，湖北教育出版社，2003年，第181頁。</w:t>
      </w:r>
    </w:p>
  </w:endnote>
  <w:endnote w:id="16">
    <w:p w14:paraId="62B375B4" w14:textId="77777777" w:rsidR="00F730D5" w:rsidRPr="00315971" w:rsidRDefault="00F730D5" w:rsidP="00857FBD">
      <w:pPr>
        <w:pStyle w:val="ad"/>
        <w:jc w:val="both"/>
        <w:textAlignment w:val="center"/>
        <w:rPr>
          <w:rFonts w:hint="eastAsia"/>
          <w:sz w:val="21"/>
          <w:szCs w:val="21"/>
          <w:lang w:eastAsia="zh-TW"/>
        </w:rPr>
      </w:pPr>
      <w:r w:rsidRPr="00315971">
        <w:rPr>
          <w:rStyle w:val="afd"/>
          <w:sz w:val="21"/>
          <w:szCs w:val="21"/>
        </w:rPr>
        <w:endnoteRef/>
      </w:r>
      <w:r w:rsidRPr="00315971">
        <w:rPr>
          <w:rFonts w:hint="eastAsia"/>
          <w:sz w:val="21"/>
          <w:szCs w:val="21"/>
          <w:lang w:eastAsia="zh-TW"/>
        </w:rPr>
        <w:t xml:space="preserve"> 作者似乎沒有辦法確信學是人的本能，正如大雁成陣而飛，牛之反芻，所以用“或使之也”，有一種力量要求他去學，他好像找不到一種東西代表人的本能。學實際上正是用心不同的表現和原因。</w:t>
      </w:r>
    </w:p>
  </w:endnote>
  <w:endnote w:id="17">
    <w:p w14:paraId="19B75535" w14:textId="77777777" w:rsidR="00F730D5" w:rsidRPr="00315971" w:rsidRDefault="00F730D5" w:rsidP="00857FBD">
      <w:pPr>
        <w:pStyle w:val="ad"/>
        <w:jc w:val="both"/>
        <w:textAlignment w:val="center"/>
        <w:rPr>
          <w:rFonts w:hint="eastAsia"/>
          <w:sz w:val="21"/>
          <w:szCs w:val="21"/>
          <w:lang w:eastAsia="zh-TW"/>
        </w:rPr>
      </w:pPr>
      <w:r w:rsidRPr="00315971">
        <w:rPr>
          <w:rStyle w:val="afd"/>
          <w:sz w:val="21"/>
          <w:szCs w:val="21"/>
        </w:rPr>
        <w:endnoteRef/>
      </w:r>
      <w:r w:rsidRPr="00315971">
        <w:rPr>
          <w:rFonts w:hint="eastAsia"/>
          <w:sz w:val="21"/>
          <w:szCs w:val="21"/>
          <w:lang w:eastAsia="zh-TW"/>
        </w:rPr>
        <w:t xml:space="preserve"> 陳偉：《郭店竹書別釋》，第182頁。</w:t>
      </w:r>
    </w:p>
  </w:endnote>
  <w:endnote w:id="18">
    <w:p w14:paraId="294C8B6D" w14:textId="77777777" w:rsidR="00F730D5" w:rsidRPr="00315971" w:rsidRDefault="00F730D5" w:rsidP="00857FBD">
      <w:pPr>
        <w:pStyle w:val="ad"/>
        <w:jc w:val="both"/>
        <w:textAlignment w:val="center"/>
        <w:rPr>
          <w:rFonts w:hint="eastAsia"/>
          <w:sz w:val="21"/>
          <w:szCs w:val="21"/>
          <w:lang w:eastAsia="zh-TW"/>
        </w:rPr>
      </w:pPr>
      <w:r w:rsidRPr="00315971">
        <w:rPr>
          <w:rStyle w:val="afd"/>
          <w:sz w:val="21"/>
          <w:szCs w:val="21"/>
        </w:rPr>
        <w:endnoteRef/>
      </w:r>
      <w:r w:rsidRPr="00315971">
        <w:rPr>
          <w:rFonts w:hint="eastAsia"/>
          <w:sz w:val="21"/>
          <w:szCs w:val="21"/>
          <w:lang w:eastAsia="zh-TW"/>
        </w:rPr>
        <w:t xml:space="preserve"> 本篇多“斯”字，作</w:t>
      </w:r>
      <w:r w:rsidRPr="00315971">
        <w:rPr>
          <w:noProof/>
          <w:sz w:val="21"/>
          <w:szCs w:val="21"/>
          <w:lang w:eastAsia="zh-TW"/>
        </w:rPr>
        <w:drawing>
          <wp:inline distT="0" distB="0" distL="0" distR="0" wp14:anchorId="5E5911CE" wp14:editId="1A0CE48E">
            <wp:extent cx="238760" cy="365760"/>
            <wp:effectExtent l="0" t="0" r="0" b="0"/>
            <wp:docPr id="588126144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971">
        <w:rPr>
          <w:rFonts w:hint="eastAsia"/>
          <w:sz w:val="21"/>
          <w:szCs w:val="21"/>
          <w:lang w:eastAsia="zh-TW"/>
        </w:rPr>
        <w:t>簡34，此字似不能完全排除“斯”之錯字的可能。不過“斯”下作兩橫，上從臼，與此字有較大的差異。</w:t>
      </w:r>
    </w:p>
  </w:endnote>
  <w:endnote w:id="19">
    <w:p w14:paraId="788D9EC6" w14:textId="77777777" w:rsidR="00F730D5" w:rsidRPr="00315971" w:rsidRDefault="00F730D5" w:rsidP="00857FBD">
      <w:pPr>
        <w:pStyle w:val="ad"/>
        <w:jc w:val="both"/>
        <w:textAlignment w:val="center"/>
        <w:rPr>
          <w:rFonts w:hint="eastAsia"/>
          <w:sz w:val="21"/>
          <w:szCs w:val="21"/>
          <w:lang w:eastAsia="zh-TW"/>
        </w:rPr>
      </w:pPr>
      <w:r w:rsidRPr="00315971">
        <w:rPr>
          <w:rStyle w:val="afd"/>
          <w:sz w:val="21"/>
          <w:szCs w:val="21"/>
        </w:rPr>
        <w:endnoteRef/>
      </w:r>
      <w:r w:rsidRPr="00315971">
        <w:rPr>
          <w:rFonts w:hint="eastAsia"/>
          <w:sz w:val="21"/>
          <w:szCs w:val="21"/>
          <w:lang w:eastAsia="zh-TW"/>
        </w:rPr>
        <w:t xml:space="preserve"> 段玉裁：《說文解字注》，上海古籍出版社，1988年，第717頁。朱駿聲：《說文通訓定聲》，商務印書館，1937年，第2048頁；潘悟雲：《漢語古音手冊》，中西書局，2023年，第197頁。</w:t>
      </w:r>
    </w:p>
  </w:endnote>
  <w:endnote w:id="20">
    <w:p w14:paraId="6C110B63" w14:textId="77777777" w:rsidR="00F730D5" w:rsidRPr="00315971" w:rsidRDefault="00F730D5" w:rsidP="00857FBD">
      <w:pPr>
        <w:pStyle w:val="ad"/>
        <w:jc w:val="both"/>
        <w:textAlignment w:val="center"/>
        <w:rPr>
          <w:rFonts w:hint="eastAsia"/>
          <w:sz w:val="21"/>
          <w:szCs w:val="21"/>
          <w:lang w:eastAsia="zh-TW"/>
        </w:rPr>
      </w:pPr>
      <w:r w:rsidRPr="00315971">
        <w:rPr>
          <w:rStyle w:val="afd"/>
          <w:sz w:val="21"/>
          <w:szCs w:val="21"/>
        </w:rPr>
        <w:endnoteRef/>
      </w:r>
      <w:r w:rsidRPr="00315971">
        <w:rPr>
          <w:rFonts w:hint="eastAsia"/>
          <w:sz w:val="21"/>
          <w:szCs w:val="21"/>
          <w:lang w:eastAsia="zh-TW"/>
        </w:rPr>
        <w:t xml:space="preserve"> 諸說參看《楚地》，第104頁注23。</w:t>
      </w:r>
    </w:p>
  </w:endnote>
  <w:endnote w:id="21">
    <w:p w14:paraId="64EEBFBC" w14:textId="77777777" w:rsidR="00F730D5" w:rsidRPr="00315971" w:rsidRDefault="00F730D5" w:rsidP="00857FBD">
      <w:pPr>
        <w:pStyle w:val="ad"/>
        <w:jc w:val="both"/>
        <w:textAlignment w:val="center"/>
        <w:rPr>
          <w:rFonts w:hint="eastAsia"/>
          <w:sz w:val="21"/>
          <w:szCs w:val="21"/>
          <w:lang w:eastAsia="zh-TW"/>
        </w:rPr>
      </w:pPr>
      <w:r w:rsidRPr="00315971">
        <w:rPr>
          <w:rStyle w:val="afd"/>
          <w:sz w:val="21"/>
          <w:szCs w:val="21"/>
        </w:rPr>
        <w:endnoteRef/>
      </w:r>
      <w:r w:rsidRPr="00315971">
        <w:rPr>
          <w:rFonts w:hint="eastAsia"/>
          <w:sz w:val="21"/>
          <w:szCs w:val="21"/>
          <w:lang w:eastAsia="zh-TW"/>
        </w:rPr>
        <w:t xml:space="preserve"> 簡文“教”字不知有無可能原作“學”。“教”可讀為“學”，《唐虞之道》簡5“大（太）教（學）之中，天子親齒，教民弟（悌）也。”</w:t>
      </w:r>
    </w:p>
  </w:endnote>
  <w:endnote w:id="22">
    <w:p w14:paraId="363E895B" w14:textId="77777777" w:rsidR="00F730D5" w:rsidRPr="00315971" w:rsidRDefault="00F730D5" w:rsidP="00857FBD">
      <w:pPr>
        <w:pStyle w:val="ad"/>
        <w:jc w:val="both"/>
        <w:textAlignment w:val="center"/>
        <w:rPr>
          <w:rFonts w:hint="eastAsia"/>
          <w:sz w:val="21"/>
          <w:szCs w:val="21"/>
          <w:lang w:eastAsia="zh-TW"/>
        </w:rPr>
      </w:pPr>
      <w:r w:rsidRPr="00315971">
        <w:rPr>
          <w:rStyle w:val="afd"/>
          <w:sz w:val="21"/>
          <w:szCs w:val="21"/>
        </w:rPr>
        <w:endnoteRef/>
      </w:r>
      <w:r w:rsidRPr="00315971">
        <w:rPr>
          <w:rFonts w:hint="eastAsia"/>
          <w:sz w:val="21"/>
          <w:szCs w:val="21"/>
          <w:lang w:eastAsia="zh-TW"/>
        </w:rPr>
        <w:t xml:space="preserve"> 李天虹：《郭店竹简〈性自命出〉研究》，湖北教育出版社，2003年，第143頁。</w:t>
      </w:r>
    </w:p>
  </w:endnote>
  <w:endnote w:id="23">
    <w:p w14:paraId="18283DC8" w14:textId="77777777" w:rsidR="00F730D5" w:rsidRPr="00315971" w:rsidRDefault="00F730D5" w:rsidP="00857FBD">
      <w:pPr>
        <w:pStyle w:val="ad"/>
        <w:jc w:val="both"/>
        <w:textAlignment w:val="center"/>
        <w:rPr>
          <w:rFonts w:hint="eastAsia"/>
          <w:sz w:val="21"/>
          <w:szCs w:val="21"/>
          <w:lang w:eastAsia="zh-TW"/>
        </w:rPr>
      </w:pPr>
      <w:r w:rsidRPr="00315971">
        <w:rPr>
          <w:rStyle w:val="afd"/>
          <w:sz w:val="21"/>
          <w:szCs w:val="21"/>
        </w:rPr>
        <w:endnoteRef/>
      </w:r>
      <w:r w:rsidRPr="00315971">
        <w:rPr>
          <w:rFonts w:hint="eastAsia"/>
          <w:sz w:val="21"/>
          <w:szCs w:val="21"/>
          <w:lang w:eastAsia="zh-TW"/>
        </w:rPr>
        <w:t xml:space="preserve"> 王念孫：《讀書雜志》，江蘇古籍出版社，1985年，第630</w:t>
      </w:r>
      <w:r w:rsidRPr="00315971">
        <w:rPr>
          <w:rFonts w:cs="宋体-方正超大字符集" w:hint="eastAsia"/>
          <w:sz w:val="21"/>
          <w:szCs w:val="21"/>
          <w:lang w:eastAsia="zh-TW"/>
        </w:rPr>
        <w:t>―</w:t>
      </w:r>
      <w:r w:rsidRPr="00315971">
        <w:rPr>
          <w:rFonts w:hint="eastAsia"/>
          <w:sz w:val="21"/>
          <w:szCs w:val="21"/>
          <w:lang w:eastAsia="zh-TW"/>
        </w:rPr>
        <w:t>631頁。</w:t>
      </w:r>
    </w:p>
  </w:endnote>
  <w:endnote w:id="24">
    <w:p w14:paraId="5AD6CD57" w14:textId="77777777" w:rsidR="00F730D5" w:rsidRPr="00315971" w:rsidRDefault="00F730D5" w:rsidP="00857FBD">
      <w:pPr>
        <w:pStyle w:val="ad"/>
        <w:jc w:val="both"/>
        <w:textAlignment w:val="center"/>
        <w:rPr>
          <w:rFonts w:hint="eastAsia"/>
          <w:sz w:val="21"/>
          <w:szCs w:val="21"/>
          <w:lang w:eastAsia="zh-TW"/>
        </w:rPr>
      </w:pPr>
      <w:r w:rsidRPr="00315971">
        <w:rPr>
          <w:rStyle w:val="afd"/>
          <w:sz w:val="21"/>
          <w:szCs w:val="21"/>
        </w:rPr>
        <w:endnoteRef/>
      </w:r>
      <w:r w:rsidRPr="00315971">
        <w:rPr>
          <w:rFonts w:hint="eastAsia"/>
          <w:sz w:val="21"/>
          <w:szCs w:val="21"/>
          <w:lang w:eastAsia="zh-TW"/>
        </w:rPr>
        <w:t xml:space="preserve"> 下引裘錫圭《從古漢語中“善”的用法談到〈老子〉中的“善”》（第88頁，已下簡稱“《善》”）認為這兩個“能”似也可以理解爲“能及”，此句的意思是説：“其認識只能達到事的層面，而不能達到心的層面，那是不足貴的。”</w:t>
      </w:r>
    </w:p>
  </w:endnote>
  <w:endnote w:id="25">
    <w:p w14:paraId="7D905878" w14:textId="77777777" w:rsidR="00F730D5" w:rsidRPr="00315971" w:rsidRDefault="00F730D5" w:rsidP="00857FBD">
      <w:pPr>
        <w:pStyle w:val="ad"/>
        <w:jc w:val="both"/>
        <w:textAlignment w:val="center"/>
        <w:rPr>
          <w:rFonts w:hint="eastAsia"/>
          <w:sz w:val="21"/>
          <w:szCs w:val="21"/>
          <w:lang w:eastAsia="zh-TW"/>
        </w:rPr>
      </w:pPr>
      <w:r w:rsidRPr="00315971">
        <w:rPr>
          <w:rStyle w:val="afd"/>
          <w:sz w:val="21"/>
          <w:szCs w:val="21"/>
        </w:rPr>
        <w:endnoteRef/>
      </w:r>
      <w:r w:rsidRPr="00315971">
        <w:rPr>
          <w:rFonts w:hint="eastAsia"/>
          <w:sz w:val="21"/>
          <w:szCs w:val="21"/>
          <w:lang w:eastAsia="zh-TW"/>
        </w:rPr>
        <w:t xml:space="preserve"> 沈培：《說郭店楚簡中的“肆”》，劉利民、周建設主編：《語言》第2卷，首都師範大學出版社，2001年，第317頁。</w:t>
      </w:r>
    </w:p>
  </w:endnote>
  <w:endnote w:id="26">
    <w:p w14:paraId="259EF9F1" w14:textId="77777777" w:rsidR="00F730D5" w:rsidRPr="00315971" w:rsidRDefault="00F730D5" w:rsidP="00857FBD">
      <w:pPr>
        <w:pStyle w:val="ad"/>
        <w:jc w:val="both"/>
        <w:textAlignment w:val="center"/>
        <w:rPr>
          <w:rFonts w:hint="eastAsia"/>
          <w:sz w:val="21"/>
          <w:szCs w:val="21"/>
          <w:lang w:eastAsia="zh-TW"/>
        </w:rPr>
      </w:pPr>
      <w:r w:rsidRPr="00315971">
        <w:rPr>
          <w:rStyle w:val="afd"/>
          <w:sz w:val="21"/>
          <w:szCs w:val="21"/>
        </w:rPr>
        <w:endnoteRef/>
      </w:r>
      <w:r w:rsidRPr="00315971">
        <w:rPr>
          <w:rFonts w:hint="eastAsia"/>
          <w:sz w:val="21"/>
          <w:szCs w:val="21"/>
          <w:lang w:eastAsia="zh-TW"/>
        </w:rPr>
        <w:t xml:space="preserve"> 裘錫圭：《從古漢語中“善”的用法談到〈老子〉中的“善”》，北京大學歷史學系等編：《吳榮曾先生九十華誕頌壽論文集》，2022年，第141頁。</w:t>
      </w:r>
    </w:p>
  </w:endnote>
  <w:endnote w:id="27">
    <w:p w14:paraId="5EE76040" w14:textId="77777777" w:rsidR="00F730D5" w:rsidRPr="00315971" w:rsidRDefault="00F730D5" w:rsidP="00857FBD">
      <w:pPr>
        <w:pStyle w:val="ad"/>
        <w:jc w:val="both"/>
        <w:textAlignment w:val="center"/>
        <w:rPr>
          <w:rFonts w:hint="eastAsia"/>
          <w:sz w:val="21"/>
          <w:szCs w:val="21"/>
          <w:lang w:eastAsia="zh-TW"/>
        </w:rPr>
      </w:pPr>
      <w:r w:rsidRPr="00315971">
        <w:rPr>
          <w:rStyle w:val="afd"/>
          <w:sz w:val="21"/>
          <w:szCs w:val="21"/>
        </w:rPr>
        <w:endnoteRef/>
      </w:r>
      <w:r w:rsidRPr="00315971">
        <w:rPr>
          <w:rFonts w:hint="eastAsia"/>
          <w:sz w:val="21"/>
          <w:szCs w:val="21"/>
          <w:lang w:eastAsia="zh-TW"/>
        </w:rPr>
        <w:t xml:space="preserve"> 參看《楚地》第119頁注53。</w:t>
      </w:r>
    </w:p>
  </w:endnote>
  <w:endnote w:id="28">
    <w:p w14:paraId="6D645EF3" w14:textId="77777777" w:rsidR="00F730D5" w:rsidRPr="00315971" w:rsidRDefault="00F730D5" w:rsidP="00857FBD">
      <w:pPr>
        <w:pStyle w:val="ad"/>
        <w:jc w:val="both"/>
        <w:textAlignment w:val="center"/>
        <w:rPr>
          <w:rFonts w:hint="eastAsia"/>
          <w:sz w:val="21"/>
          <w:szCs w:val="21"/>
          <w:lang w:eastAsia="zh-TW"/>
        </w:rPr>
      </w:pPr>
      <w:r w:rsidRPr="00315971">
        <w:rPr>
          <w:rStyle w:val="afd"/>
          <w:sz w:val="21"/>
          <w:szCs w:val="21"/>
        </w:rPr>
        <w:endnoteRef/>
      </w:r>
      <w:r w:rsidRPr="00315971">
        <w:rPr>
          <w:rFonts w:hint="eastAsia"/>
          <w:sz w:val="21"/>
          <w:szCs w:val="21"/>
          <w:lang w:eastAsia="zh-TW"/>
        </w:rPr>
        <w:t xml:space="preserve"> 劉信芳：《郭店簡文字例解三則》，中研院史語所：《歷史語言研究所集刊》第71本第4分，2000年。參看《楚地》第136頁注95、98。</w:t>
      </w:r>
    </w:p>
  </w:endnote>
  <w:endnote w:id="29">
    <w:p w14:paraId="3E9B791A" w14:textId="77777777" w:rsidR="00F730D5" w:rsidRPr="00315971" w:rsidRDefault="00F730D5" w:rsidP="00857FBD">
      <w:pPr>
        <w:pStyle w:val="ad"/>
        <w:jc w:val="both"/>
        <w:textAlignment w:val="center"/>
        <w:rPr>
          <w:rFonts w:hint="eastAsia"/>
          <w:sz w:val="21"/>
          <w:szCs w:val="21"/>
          <w:lang w:eastAsia="zh-TW"/>
        </w:rPr>
      </w:pPr>
      <w:r w:rsidRPr="00315971">
        <w:rPr>
          <w:rStyle w:val="afd"/>
          <w:sz w:val="21"/>
          <w:szCs w:val="21"/>
        </w:rPr>
        <w:endnoteRef/>
      </w:r>
      <w:r w:rsidRPr="00315971">
        <w:rPr>
          <w:rFonts w:hint="eastAsia"/>
          <w:sz w:val="21"/>
          <w:szCs w:val="21"/>
          <w:lang w:eastAsia="zh-TW"/>
        </w:rPr>
        <w:t xml:space="preserve"> 馬承源主編：《上海博物館藏戰國楚竹書》，上海古籍出版社，2001年，第254頁。</w:t>
      </w:r>
    </w:p>
  </w:endnote>
  <w:endnote w:id="30">
    <w:p w14:paraId="6D81B8C7" w14:textId="77777777" w:rsidR="00F730D5" w:rsidRPr="00315971" w:rsidRDefault="00F730D5" w:rsidP="00857FBD">
      <w:pPr>
        <w:pStyle w:val="ad"/>
        <w:jc w:val="both"/>
        <w:textAlignment w:val="center"/>
        <w:rPr>
          <w:rFonts w:hint="eastAsia"/>
          <w:sz w:val="21"/>
          <w:szCs w:val="21"/>
          <w:lang w:eastAsia="zh-TW"/>
        </w:rPr>
      </w:pPr>
      <w:r w:rsidRPr="00315971">
        <w:rPr>
          <w:rStyle w:val="afd"/>
          <w:sz w:val="21"/>
          <w:szCs w:val="21"/>
        </w:rPr>
        <w:endnoteRef/>
      </w:r>
      <w:r w:rsidRPr="00315971">
        <w:rPr>
          <w:rFonts w:hint="eastAsia"/>
          <w:sz w:val="21"/>
          <w:szCs w:val="21"/>
          <w:lang w:eastAsia="zh-TW"/>
        </w:rPr>
        <w:t xml:space="preserve"> 沈培：《郭店楚簡：六德》，華東師範大學教育部重點研究基地重大項目“戰國楚簡集釋長編”，2004年3月。沈文未見，轉引自單育辰：《郭店〈尊德義〉〈成之聞之〉〈六德〉三篇整理與研究》，科學出版社，2015年，第319頁。</w:t>
      </w:r>
    </w:p>
  </w:endnote>
  <w:endnote w:id="31">
    <w:p w14:paraId="249A9E6F" w14:textId="77777777" w:rsidR="00F730D5" w:rsidRPr="00315971" w:rsidRDefault="00F730D5" w:rsidP="00857FBD">
      <w:pPr>
        <w:pStyle w:val="ad"/>
        <w:jc w:val="both"/>
        <w:textAlignment w:val="center"/>
        <w:rPr>
          <w:rFonts w:hint="eastAsia"/>
          <w:sz w:val="21"/>
          <w:szCs w:val="21"/>
          <w:lang w:eastAsia="zh-TW"/>
        </w:rPr>
      </w:pPr>
      <w:r w:rsidRPr="00315971">
        <w:rPr>
          <w:rStyle w:val="afd"/>
          <w:sz w:val="21"/>
          <w:szCs w:val="21"/>
        </w:rPr>
        <w:endnoteRef/>
      </w:r>
      <w:r w:rsidRPr="00315971">
        <w:rPr>
          <w:rFonts w:hint="eastAsia"/>
          <w:sz w:val="21"/>
          <w:szCs w:val="21"/>
          <w:lang w:eastAsia="zh-TW"/>
        </w:rPr>
        <w:t xml:space="preserve"> 參看《楚地》第162頁；孫慧敏：《郭店楚墓竹簡《語叢（一～三）》集釋》，哈爾濱師範大學碩士學位論文，指導教師：孫剛，2021年，第108頁。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-方正超大字符集">
    <w:altName w:val="宋体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书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NewRomanPS-BoldMT">
    <w:altName w:val="Times New Roman"/>
    <w:charset w:val="00"/>
    <w:family w:val="roman"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ew Gulim">
    <w:altName w:val="Cambria"/>
    <w:charset w:val="00"/>
    <w:family w:val="roman"/>
    <w:pitch w:val="default"/>
  </w:font>
  <w:font w:name="控呇湮佽恅苤蚼">
    <w:altName w:val="Microsoft JhengHei"/>
    <w:charset w:val="88"/>
    <w:family w:val="modern"/>
    <w:pitch w:val="default"/>
    <w:sig w:usb0="00000000" w:usb1="00000000" w:usb2="00000010" w:usb3="00000000" w:csb0="0010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ˎ̥">
    <w:altName w:val="Cambria"/>
    <w:charset w:val="00"/>
    <w:family w:val="roman"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Liberation Serif;Times New Roma">
    <w:altName w:val="Times New Roman"/>
    <w:charset w:val="00"/>
    <w:family w:val="roman"/>
    <w:pitch w:val="default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方正仿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方正楷体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方正黑体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准圆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宋体-ExtB">
    <w:altName w:val="SimSun-ExtB"/>
    <w:panose1 w:val="02010609060101010101"/>
    <w:charset w:val="86"/>
    <w:family w:val="modern"/>
    <w:pitch w:val="fixed"/>
    <w:sig w:usb0="21002A87" w:usb1="1B0F0000" w:usb2="00000010" w:usb3="00000000" w:csb0="8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金文宋體">
    <w:panose1 w:val="02010509060101010101"/>
    <w:charset w:val="86"/>
    <w:family w:val="modern"/>
    <w:pitch w:val="fixed"/>
    <w:sig w:usb0="00000001" w:usb1="090E0000" w:usb2="00000010" w:usb3="00000000" w:csb0="000C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223CCF" w14:textId="77777777" w:rsidR="00C64CDB" w:rsidRDefault="00FA30F4">
    <w:pPr>
      <w:pStyle w:val="af0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14:paraId="6083D0A7" w14:textId="77777777" w:rsidR="00C64CDB" w:rsidRDefault="00C64CDB">
    <w:pPr>
      <w:pStyle w:val="af0"/>
    </w:pPr>
  </w:p>
  <w:p w14:paraId="3BE86F75" w14:textId="77777777" w:rsidR="00C64CDB" w:rsidRDefault="00C64CDB">
    <w:pPr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91279" w14:textId="656C31A9" w:rsidR="00C64CDB" w:rsidRDefault="00FA30F4">
    <w:pPr>
      <w:tabs>
        <w:tab w:val="center" w:pos="4153"/>
        <w:tab w:val="right" w:pos="8306"/>
      </w:tabs>
      <w:rPr>
        <w:rFonts w:hint="eastAsia"/>
        <w:sz w:val="18"/>
        <w:szCs w:val="18"/>
      </w:rPr>
    </w:pPr>
    <w:r>
      <w:rPr>
        <w:rFonts w:hint="eastAsia"/>
        <w:sz w:val="18"/>
        <w:szCs w:val="18"/>
      </w:rPr>
      <w:t>收稿日期：</w:t>
    </w:r>
    <w:r>
      <w:rPr>
        <w:sz w:val="18"/>
        <w:szCs w:val="18"/>
      </w:rPr>
      <w:t>20</w:t>
    </w:r>
    <w:r>
      <w:rPr>
        <w:rFonts w:hint="eastAsia"/>
        <w:sz w:val="18"/>
        <w:szCs w:val="18"/>
      </w:rPr>
      <w:t>2</w:t>
    </w:r>
    <w:r w:rsidR="00F730D5">
      <w:rPr>
        <w:rFonts w:hint="eastAsia"/>
        <w:sz w:val="18"/>
        <w:szCs w:val="18"/>
      </w:rPr>
      <w:t>5</w:t>
    </w:r>
    <w:r>
      <w:rPr>
        <w:rFonts w:hint="eastAsia"/>
        <w:sz w:val="18"/>
        <w:szCs w:val="18"/>
      </w:rPr>
      <w:t>年</w:t>
    </w:r>
    <w:r w:rsidR="00F730D5">
      <w:rPr>
        <w:rFonts w:hint="eastAsia"/>
        <w:sz w:val="18"/>
        <w:szCs w:val="18"/>
      </w:rPr>
      <w:t>12</w:t>
    </w:r>
    <w:r>
      <w:rPr>
        <w:rFonts w:hint="eastAsia"/>
        <w:sz w:val="18"/>
        <w:szCs w:val="18"/>
      </w:rPr>
      <w:t>月</w:t>
    </w:r>
    <w:r w:rsidR="00F730D5">
      <w:rPr>
        <w:rFonts w:hint="eastAsia"/>
        <w:sz w:val="18"/>
        <w:szCs w:val="18"/>
      </w:rPr>
      <w:t>24</w:t>
    </w:r>
    <w:r>
      <w:rPr>
        <w:rFonts w:hint="eastAsia"/>
        <w:sz w:val="18"/>
        <w:szCs w:val="18"/>
      </w:rPr>
      <w:t>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发布日期：</w:t>
    </w:r>
    <w:r w:rsidR="008A5B1C">
      <w:rPr>
        <w:sz w:val="18"/>
        <w:szCs w:val="18"/>
      </w:rPr>
      <w:t>20</w:t>
    </w:r>
    <w:r w:rsidR="008A5B1C">
      <w:rPr>
        <w:rFonts w:hint="eastAsia"/>
        <w:sz w:val="18"/>
        <w:szCs w:val="18"/>
      </w:rPr>
      <w:t>25年12月24日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页码：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2</w:t>
    </w:r>
    <w:r>
      <w:rPr>
        <w:sz w:val="18"/>
        <w:szCs w:val="18"/>
      </w:rPr>
      <w:fldChar w:fldCharType="end"/>
    </w:r>
    <w:r>
      <w:rPr>
        <w:sz w:val="18"/>
        <w:szCs w:val="18"/>
      </w:rPr>
      <w:t>/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2</w:t>
    </w:r>
    <w:r>
      <w:rPr>
        <w:sz w:val="18"/>
        <w:szCs w:val="18"/>
      </w:rPr>
      <w:fldChar w:fldCharType="end"/>
    </w:r>
  </w:p>
  <w:p w14:paraId="3E969B4D" w14:textId="77777777" w:rsidR="00C64CDB" w:rsidRDefault="00C64CDB">
    <w:pPr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187D2" w14:textId="77777777" w:rsidR="008A5B1C" w:rsidRDefault="008A5B1C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0A7825" w14:textId="77777777" w:rsidR="00A85B8E" w:rsidRDefault="00A85B8E">
      <w:pPr>
        <w:rPr>
          <w:rFonts w:hint="eastAsia"/>
        </w:rPr>
      </w:pPr>
      <w:r>
        <w:separator/>
      </w:r>
    </w:p>
  </w:footnote>
  <w:footnote w:type="continuationSeparator" w:id="0">
    <w:p w14:paraId="378C67BF" w14:textId="77777777" w:rsidR="00A85B8E" w:rsidRDefault="00A85B8E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1AF60" w14:textId="77777777" w:rsidR="008A5B1C" w:rsidRDefault="008A5B1C">
    <w:pPr>
      <w:pStyle w:val="af2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9F465" w14:textId="77777777" w:rsidR="00C64CDB" w:rsidRDefault="00FA30F4">
    <w:pPr>
      <w:pStyle w:val="af2"/>
      <w:spacing w:before="240" w:after="240"/>
      <w:ind w:firstLine="436"/>
      <w:rPr>
        <w:rFonts w:hint="eastAsia"/>
      </w:rPr>
    </w:pPr>
    <w:r>
      <w:rPr>
        <w:rFonts w:hint="eastAsia"/>
      </w:rPr>
      <w:t>复旦大学出土文献与古文字研究中心网站论文</w:t>
    </w:r>
  </w:p>
  <w:p w14:paraId="414180E0" w14:textId="0A34E2D1" w:rsidR="00C64CDB" w:rsidRDefault="00FA30F4">
    <w:pPr>
      <w:pStyle w:val="af2"/>
      <w:spacing w:before="240" w:after="240"/>
      <w:ind w:firstLine="436"/>
      <w:rPr>
        <w:rFonts w:hint="eastAsia"/>
      </w:rPr>
    </w:pPr>
    <w:r>
      <w:rPr>
        <w:rFonts w:hint="eastAsia"/>
      </w:rPr>
      <w:t>链接：</w:t>
    </w:r>
    <w:r>
      <w:t>http://www.fdgwz.org.cn/Web/Show/</w:t>
    </w:r>
    <w:r w:rsidR="008A5B1C" w:rsidRPr="008A5B1C">
      <w:rPr>
        <w:rFonts w:hint="eastAsia"/>
      </w:rPr>
      <w:t>/1334</w:t>
    </w:r>
    <w:r w:rsidR="008A5B1C">
      <w:rPr>
        <w:rFonts w:hint="eastAsia"/>
      </w:rPr>
      <w:t>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4C1F8" w14:textId="77777777" w:rsidR="008A5B1C" w:rsidRDefault="008A5B1C">
    <w:pPr>
      <w:pStyle w:val="af2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A460B2"/>
    <w:multiLevelType w:val="multilevel"/>
    <w:tmpl w:val="33A460B2"/>
    <w:lvl w:ilvl="0">
      <w:start w:val="1"/>
      <w:numFmt w:val="chineseCountingThousand"/>
      <w:suff w:val="nothing"/>
      <w:lvlText w:val="%1、"/>
      <w:lvlJc w:val="left"/>
      <w:pPr>
        <w:ind w:left="4267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61A13589"/>
    <w:multiLevelType w:val="multilevel"/>
    <w:tmpl w:val="1F2C2C36"/>
    <w:lvl w:ilvl="0">
      <w:start w:val="1"/>
      <w:numFmt w:val="chineseCountingThousand"/>
      <w:suff w:val="nothing"/>
      <w:lvlText w:val="%1、"/>
      <w:lvlJc w:val="left"/>
      <w:pPr>
        <w:ind w:left="0" w:firstLine="6379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12784856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350779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DRjNGUxZTgwY2MzMjZjZTM0ZWQ3NzZiOWQxMGM3OGMifQ=="/>
  </w:docVars>
  <w:rsids>
    <w:rsidRoot w:val="00CB0024"/>
    <w:rsid w:val="00000665"/>
    <w:rsid w:val="000038DD"/>
    <w:rsid w:val="00004756"/>
    <w:rsid w:val="000118C4"/>
    <w:rsid w:val="00011970"/>
    <w:rsid w:val="000133A5"/>
    <w:rsid w:val="000160FB"/>
    <w:rsid w:val="00016334"/>
    <w:rsid w:val="000176BF"/>
    <w:rsid w:val="00017F20"/>
    <w:rsid w:val="000205F4"/>
    <w:rsid w:val="00020E8F"/>
    <w:rsid w:val="00021234"/>
    <w:rsid w:val="00022497"/>
    <w:rsid w:val="0002486C"/>
    <w:rsid w:val="000269A2"/>
    <w:rsid w:val="00031027"/>
    <w:rsid w:val="0003211C"/>
    <w:rsid w:val="00032E60"/>
    <w:rsid w:val="00033997"/>
    <w:rsid w:val="00033F9D"/>
    <w:rsid w:val="00035922"/>
    <w:rsid w:val="00036B75"/>
    <w:rsid w:val="00036C59"/>
    <w:rsid w:val="00037D45"/>
    <w:rsid w:val="000414E8"/>
    <w:rsid w:val="00041765"/>
    <w:rsid w:val="00041E3D"/>
    <w:rsid w:val="00043973"/>
    <w:rsid w:val="00043DAA"/>
    <w:rsid w:val="00050E7C"/>
    <w:rsid w:val="0005645C"/>
    <w:rsid w:val="000602F4"/>
    <w:rsid w:val="00060DC7"/>
    <w:rsid w:val="000626A6"/>
    <w:rsid w:val="000642EB"/>
    <w:rsid w:val="0006648C"/>
    <w:rsid w:val="00067514"/>
    <w:rsid w:val="00073508"/>
    <w:rsid w:val="00075069"/>
    <w:rsid w:val="00075BC1"/>
    <w:rsid w:val="00076D07"/>
    <w:rsid w:val="00076F82"/>
    <w:rsid w:val="0008174D"/>
    <w:rsid w:val="00084150"/>
    <w:rsid w:val="000860FF"/>
    <w:rsid w:val="00086283"/>
    <w:rsid w:val="00095B2D"/>
    <w:rsid w:val="000A4034"/>
    <w:rsid w:val="000A4A8F"/>
    <w:rsid w:val="000A567C"/>
    <w:rsid w:val="000B02C6"/>
    <w:rsid w:val="000B3534"/>
    <w:rsid w:val="000B3E82"/>
    <w:rsid w:val="000B4C47"/>
    <w:rsid w:val="000B6762"/>
    <w:rsid w:val="000B7803"/>
    <w:rsid w:val="000C16D2"/>
    <w:rsid w:val="000C1EE7"/>
    <w:rsid w:val="000C306D"/>
    <w:rsid w:val="000C439A"/>
    <w:rsid w:val="000D0719"/>
    <w:rsid w:val="000D135F"/>
    <w:rsid w:val="000D13F8"/>
    <w:rsid w:val="000D6B61"/>
    <w:rsid w:val="000E12E3"/>
    <w:rsid w:val="000E2C87"/>
    <w:rsid w:val="000E3AF3"/>
    <w:rsid w:val="000E4237"/>
    <w:rsid w:val="000E738A"/>
    <w:rsid w:val="000E7C8B"/>
    <w:rsid w:val="000F28A8"/>
    <w:rsid w:val="000F445B"/>
    <w:rsid w:val="000F4BED"/>
    <w:rsid w:val="000F548E"/>
    <w:rsid w:val="001000A8"/>
    <w:rsid w:val="00100BE3"/>
    <w:rsid w:val="00102E1C"/>
    <w:rsid w:val="0010392E"/>
    <w:rsid w:val="00104E73"/>
    <w:rsid w:val="00110B5F"/>
    <w:rsid w:val="00112D77"/>
    <w:rsid w:val="00113F8F"/>
    <w:rsid w:val="00114AB0"/>
    <w:rsid w:val="00117A29"/>
    <w:rsid w:val="001273D1"/>
    <w:rsid w:val="00130713"/>
    <w:rsid w:val="00131D4E"/>
    <w:rsid w:val="001332B7"/>
    <w:rsid w:val="001347BB"/>
    <w:rsid w:val="00135E38"/>
    <w:rsid w:val="0013704E"/>
    <w:rsid w:val="001406A3"/>
    <w:rsid w:val="00140848"/>
    <w:rsid w:val="00140894"/>
    <w:rsid w:val="001433AC"/>
    <w:rsid w:val="0014698C"/>
    <w:rsid w:val="00154671"/>
    <w:rsid w:val="00156D70"/>
    <w:rsid w:val="00157CC9"/>
    <w:rsid w:val="00160DDF"/>
    <w:rsid w:val="00161956"/>
    <w:rsid w:val="001632CA"/>
    <w:rsid w:val="00163364"/>
    <w:rsid w:val="001641C2"/>
    <w:rsid w:val="00167A7A"/>
    <w:rsid w:val="00170500"/>
    <w:rsid w:val="00170CAA"/>
    <w:rsid w:val="00173ABC"/>
    <w:rsid w:val="00173B79"/>
    <w:rsid w:val="00175793"/>
    <w:rsid w:val="0017795C"/>
    <w:rsid w:val="001801DC"/>
    <w:rsid w:val="00180430"/>
    <w:rsid w:val="00181901"/>
    <w:rsid w:val="001825C2"/>
    <w:rsid w:val="0018424B"/>
    <w:rsid w:val="0018778C"/>
    <w:rsid w:val="00191B35"/>
    <w:rsid w:val="001938D1"/>
    <w:rsid w:val="00193DFC"/>
    <w:rsid w:val="00194702"/>
    <w:rsid w:val="00195708"/>
    <w:rsid w:val="001957D4"/>
    <w:rsid w:val="00195BA5"/>
    <w:rsid w:val="00196304"/>
    <w:rsid w:val="0019751F"/>
    <w:rsid w:val="001A02A8"/>
    <w:rsid w:val="001A19B2"/>
    <w:rsid w:val="001A4915"/>
    <w:rsid w:val="001A5188"/>
    <w:rsid w:val="001B1493"/>
    <w:rsid w:val="001B1823"/>
    <w:rsid w:val="001B293E"/>
    <w:rsid w:val="001B3E07"/>
    <w:rsid w:val="001B492F"/>
    <w:rsid w:val="001B573F"/>
    <w:rsid w:val="001B58C5"/>
    <w:rsid w:val="001B5F37"/>
    <w:rsid w:val="001B682E"/>
    <w:rsid w:val="001B6C4A"/>
    <w:rsid w:val="001B710F"/>
    <w:rsid w:val="001B771E"/>
    <w:rsid w:val="001C01CD"/>
    <w:rsid w:val="001C0A09"/>
    <w:rsid w:val="001C0EEC"/>
    <w:rsid w:val="001C2AB0"/>
    <w:rsid w:val="001C3756"/>
    <w:rsid w:val="001C4566"/>
    <w:rsid w:val="001C46F8"/>
    <w:rsid w:val="001C743C"/>
    <w:rsid w:val="001C7CFF"/>
    <w:rsid w:val="001C7EF2"/>
    <w:rsid w:val="001D1713"/>
    <w:rsid w:val="001D1CFC"/>
    <w:rsid w:val="001D427D"/>
    <w:rsid w:val="001D6615"/>
    <w:rsid w:val="001D76E5"/>
    <w:rsid w:val="001D7AFE"/>
    <w:rsid w:val="001E6598"/>
    <w:rsid w:val="001E71B9"/>
    <w:rsid w:val="001F1566"/>
    <w:rsid w:val="001F1BFC"/>
    <w:rsid w:val="001F7BAB"/>
    <w:rsid w:val="002000B5"/>
    <w:rsid w:val="002009A6"/>
    <w:rsid w:val="00200B58"/>
    <w:rsid w:val="002076FA"/>
    <w:rsid w:val="00211416"/>
    <w:rsid w:val="002117E4"/>
    <w:rsid w:val="00211B2F"/>
    <w:rsid w:val="002129CF"/>
    <w:rsid w:val="00216AB7"/>
    <w:rsid w:val="00217A9A"/>
    <w:rsid w:val="002209DA"/>
    <w:rsid w:val="002211DE"/>
    <w:rsid w:val="00221F6F"/>
    <w:rsid w:val="00222C57"/>
    <w:rsid w:val="00222DB3"/>
    <w:rsid w:val="00222FCE"/>
    <w:rsid w:val="00226A4D"/>
    <w:rsid w:val="00231125"/>
    <w:rsid w:val="00231D53"/>
    <w:rsid w:val="0023231C"/>
    <w:rsid w:val="002346A0"/>
    <w:rsid w:val="00237037"/>
    <w:rsid w:val="002372F1"/>
    <w:rsid w:val="00240C8C"/>
    <w:rsid w:val="00240D78"/>
    <w:rsid w:val="00240EAB"/>
    <w:rsid w:val="00243FD0"/>
    <w:rsid w:val="002452F9"/>
    <w:rsid w:val="0024748E"/>
    <w:rsid w:val="0025043C"/>
    <w:rsid w:val="00250AD9"/>
    <w:rsid w:val="00250B5A"/>
    <w:rsid w:val="002510D1"/>
    <w:rsid w:val="00253015"/>
    <w:rsid w:val="002530D7"/>
    <w:rsid w:val="00253AA5"/>
    <w:rsid w:val="00253DAA"/>
    <w:rsid w:val="00254681"/>
    <w:rsid w:val="00257291"/>
    <w:rsid w:val="00257D63"/>
    <w:rsid w:val="0026058F"/>
    <w:rsid w:val="0026193B"/>
    <w:rsid w:val="00261D2E"/>
    <w:rsid w:val="00262221"/>
    <w:rsid w:val="00270FAE"/>
    <w:rsid w:val="0027142D"/>
    <w:rsid w:val="002732E6"/>
    <w:rsid w:val="00273C56"/>
    <w:rsid w:val="00276ACF"/>
    <w:rsid w:val="0027743E"/>
    <w:rsid w:val="002819AA"/>
    <w:rsid w:val="0028213F"/>
    <w:rsid w:val="0028564F"/>
    <w:rsid w:val="002865ED"/>
    <w:rsid w:val="002866B4"/>
    <w:rsid w:val="00291D8E"/>
    <w:rsid w:val="00292887"/>
    <w:rsid w:val="00293574"/>
    <w:rsid w:val="002936DF"/>
    <w:rsid w:val="00294FD3"/>
    <w:rsid w:val="002A1D71"/>
    <w:rsid w:val="002A3D97"/>
    <w:rsid w:val="002A4173"/>
    <w:rsid w:val="002A5820"/>
    <w:rsid w:val="002A6194"/>
    <w:rsid w:val="002B0ED9"/>
    <w:rsid w:val="002B2F28"/>
    <w:rsid w:val="002B32DA"/>
    <w:rsid w:val="002B3F0D"/>
    <w:rsid w:val="002C1D30"/>
    <w:rsid w:val="002C4751"/>
    <w:rsid w:val="002C4C02"/>
    <w:rsid w:val="002C70BF"/>
    <w:rsid w:val="002C7445"/>
    <w:rsid w:val="002D0FD4"/>
    <w:rsid w:val="002D37CF"/>
    <w:rsid w:val="002D5A42"/>
    <w:rsid w:val="002D5CCD"/>
    <w:rsid w:val="002D70C9"/>
    <w:rsid w:val="002D74D8"/>
    <w:rsid w:val="002D7F21"/>
    <w:rsid w:val="002E23C3"/>
    <w:rsid w:val="002E2792"/>
    <w:rsid w:val="002E503F"/>
    <w:rsid w:val="002E6B02"/>
    <w:rsid w:val="002E722C"/>
    <w:rsid w:val="002F12CC"/>
    <w:rsid w:val="002F1FE6"/>
    <w:rsid w:val="002F2D81"/>
    <w:rsid w:val="002F459B"/>
    <w:rsid w:val="002F52DC"/>
    <w:rsid w:val="00300BB1"/>
    <w:rsid w:val="0030415D"/>
    <w:rsid w:val="00307775"/>
    <w:rsid w:val="003108A4"/>
    <w:rsid w:val="00311E98"/>
    <w:rsid w:val="00312503"/>
    <w:rsid w:val="00313A1D"/>
    <w:rsid w:val="00314632"/>
    <w:rsid w:val="00314846"/>
    <w:rsid w:val="00317DBF"/>
    <w:rsid w:val="00317E80"/>
    <w:rsid w:val="0032051F"/>
    <w:rsid w:val="00324A0C"/>
    <w:rsid w:val="00324B47"/>
    <w:rsid w:val="00324F02"/>
    <w:rsid w:val="00327329"/>
    <w:rsid w:val="00327BF1"/>
    <w:rsid w:val="00330794"/>
    <w:rsid w:val="00330B16"/>
    <w:rsid w:val="00332FF4"/>
    <w:rsid w:val="00334313"/>
    <w:rsid w:val="0033589E"/>
    <w:rsid w:val="00336427"/>
    <w:rsid w:val="003367D1"/>
    <w:rsid w:val="003370F3"/>
    <w:rsid w:val="00340C74"/>
    <w:rsid w:val="003516DF"/>
    <w:rsid w:val="00351C37"/>
    <w:rsid w:val="00353C36"/>
    <w:rsid w:val="003541B9"/>
    <w:rsid w:val="00355808"/>
    <w:rsid w:val="0036013B"/>
    <w:rsid w:val="00360E86"/>
    <w:rsid w:val="00362416"/>
    <w:rsid w:val="00362829"/>
    <w:rsid w:val="003630D0"/>
    <w:rsid w:val="00365AA8"/>
    <w:rsid w:val="00373178"/>
    <w:rsid w:val="00374381"/>
    <w:rsid w:val="00375FA4"/>
    <w:rsid w:val="00376418"/>
    <w:rsid w:val="003767B7"/>
    <w:rsid w:val="00377962"/>
    <w:rsid w:val="003804C5"/>
    <w:rsid w:val="00380E0F"/>
    <w:rsid w:val="00382F27"/>
    <w:rsid w:val="0038302C"/>
    <w:rsid w:val="003862DC"/>
    <w:rsid w:val="00386579"/>
    <w:rsid w:val="003914E2"/>
    <w:rsid w:val="00394082"/>
    <w:rsid w:val="00395D81"/>
    <w:rsid w:val="003A0D1A"/>
    <w:rsid w:val="003B4873"/>
    <w:rsid w:val="003B655A"/>
    <w:rsid w:val="003C0C82"/>
    <w:rsid w:val="003C12E0"/>
    <w:rsid w:val="003C1BBA"/>
    <w:rsid w:val="003C2805"/>
    <w:rsid w:val="003C3289"/>
    <w:rsid w:val="003C3A8B"/>
    <w:rsid w:val="003C4800"/>
    <w:rsid w:val="003C4D06"/>
    <w:rsid w:val="003D04C9"/>
    <w:rsid w:val="003D1C8E"/>
    <w:rsid w:val="003D46B8"/>
    <w:rsid w:val="003D4D57"/>
    <w:rsid w:val="003E1354"/>
    <w:rsid w:val="003E1502"/>
    <w:rsid w:val="003E1E5C"/>
    <w:rsid w:val="003E335D"/>
    <w:rsid w:val="003F1FF4"/>
    <w:rsid w:val="003F3825"/>
    <w:rsid w:val="003F536E"/>
    <w:rsid w:val="003F604F"/>
    <w:rsid w:val="004034AC"/>
    <w:rsid w:val="00403C1D"/>
    <w:rsid w:val="004045F2"/>
    <w:rsid w:val="0040573D"/>
    <w:rsid w:val="0040657F"/>
    <w:rsid w:val="004127DD"/>
    <w:rsid w:val="00416CDF"/>
    <w:rsid w:val="004179F2"/>
    <w:rsid w:val="00420C57"/>
    <w:rsid w:val="00420CE9"/>
    <w:rsid w:val="00424EDC"/>
    <w:rsid w:val="004274DB"/>
    <w:rsid w:val="00430178"/>
    <w:rsid w:val="0043067E"/>
    <w:rsid w:val="00430CA7"/>
    <w:rsid w:val="00430F52"/>
    <w:rsid w:val="00431BEA"/>
    <w:rsid w:val="004331F5"/>
    <w:rsid w:val="004346F5"/>
    <w:rsid w:val="00440BE0"/>
    <w:rsid w:val="00441769"/>
    <w:rsid w:val="00442291"/>
    <w:rsid w:val="004428F9"/>
    <w:rsid w:val="00445B35"/>
    <w:rsid w:val="004465F0"/>
    <w:rsid w:val="00451050"/>
    <w:rsid w:val="00451C33"/>
    <w:rsid w:val="004555EF"/>
    <w:rsid w:val="00456FAD"/>
    <w:rsid w:val="004575BE"/>
    <w:rsid w:val="004628E8"/>
    <w:rsid w:val="0046522D"/>
    <w:rsid w:val="00466A1C"/>
    <w:rsid w:val="004700EF"/>
    <w:rsid w:val="00471E95"/>
    <w:rsid w:val="004756A5"/>
    <w:rsid w:val="00475942"/>
    <w:rsid w:val="00476AB7"/>
    <w:rsid w:val="0048087E"/>
    <w:rsid w:val="0048364F"/>
    <w:rsid w:val="00483F6F"/>
    <w:rsid w:val="004860A2"/>
    <w:rsid w:val="00490EA7"/>
    <w:rsid w:val="004918C3"/>
    <w:rsid w:val="00492180"/>
    <w:rsid w:val="004974E0"/>
    <w:rsid w:val="00497B78"/>
    <w:rsid w:val="004A0DA8"/>
    <w:rsid w:val="004A1861"/>
    <w:rsid w:val="004A2935"/>
    <w:rsid w:val="004A2C87"/>
    <w:rsid w:val="004A588E"/>
    <w:rsid w:val="004A7E18"/>
    <w:rsid w:val="004B0674"/>
    <w:rsid w:val="004B0A34"/>
    <w:rsid w:val="004B0D90"/>
    <w:rsid w:val="004B12DE"/>
    <w:rsid w:val="004B1FBB"/>
    <w:rsid w:val="004B34E3"/>
    <w:rsid w:val="004B3C9F"/>
    <w:rsid w:val="004B405F"/>
    <w:rsid w:val="004B4723"/>
    <w:rsid w:val="004B4853"/>
    <w:rsid w:val="004C2B43"/>
    <w:rsid w:val="004D1FA3"/>
    <w:rsid w:val="004D4706"/>
    <w:rsid w:val="004D763B"/>
    <w:rsid w:val="004E0A07"/>
    <w:rsid w:val="004E2EDC"/>
    <w:rsid w:val="004E4CF3"/>
    <w:rsid w:val="004E6E8E"/>
    <w:rsid w:val="004F15B7"/>
    <w:rsid w:val="004F244C"/>
    <w:rsid w:val="004F53B6"/>
    <w:rsid w:val="004F618B"/>
    <w:rsid w:val="004F62FC"/>
    <w:rsid w:val="004F6F0B"/>
    <w:rsid w:val="004F6F9B"/>
    <w:rsid w:val="005002E6"/>
    <w:rsid w:val="00503A9E"/>
    <w:rsid w:val="005045E9"/>
    <w:rsid w:val="005049FB"/>
    <w:rsid w:val="005051B7"/>
    <w:rsid w:val="0051092B"/>
    <w:rsid w:val="0051119A"/>
    <w:rsid w:val="00513092"/>
    <w:rsid w:val="0051587D"/>
    <w:rsid w:val="00515C06"/>
    <w:rsid w:val="0051605E"/>
    <w:rsid w:val="005169A1"/>
    <w:rsid w:val="00517428"/>
    <w:rsid w:val="0052014E"/>
    <w:rsid w:val="0052033E"/>
    <w:rsid w:val="00520B6E"/>
    <w:rsid w:val="00523680"/>
    <w:rsid w:val="005274FE"/>
    <w:rsid w:val="00527F73"/>
    <w:rsid w:val="005308E6"/>
    <w:rsid w:val="00531EA3"/>
    <w:rsid w:val="00531F53"/>
    <w:rsid w:val="0053295D"/>
    <w:rsid w:val="00536AFC"/>
    <w:rsid w:val="0053723F"/>
    <w:rsid w:val="00542D51"/>
    <w:rsid w:val="005444A2"/>
    <w:rsid w:val="00545670"/>
    <w:rsid w:val="0054669E"/>
    <w:rsid w:val="00546876"/>
    <w:rsid w:val="00550387"/>
    <w:rsid w:val="00555D9E"/>
    <w:rsid w:val="00557369"/>
    <w:rsid w:val="00560572"/>
    <w:rsid w:val="00560EBB"/>
    <w:rsid w:val="00561840"/>
    <w:rsid w:val="00564069"/>
    <w:rsid w:val="00567DFF"/>
    <w:rsid w:val="00570DB1"/>
    <w:rsid w:val="00570E9F"/>
    <w:rsid w:val="005755E3"/>
    <w:rsid w:val="005816FB"/>
    <w:rsid w:val="00582D22"/>
    <w:rsid w:val="00584AEE"/>
    <w:rsid w:val="00586B2B"/>
    <w:rsid w:val="0059105D"/>
    <w:rsid w:val="005935F3"/>
    <w:rsid w:val="00594347"/>
    <w:rsid w:val="005952BE"/>
    <w:rsid w:val="0059594D"/>
    <w:rsid w:val="0059627F"/>
    <w:rsid w:val="005A2D63"/>
    <w:rsid w:val="005A3011"/>
    <w:rsid w:val="005A3CDD"/>
    <w:rsid w:val="005A419C"/>
    <w:rsid w:val="005B29BC"/>
    <w:rsid w:val="005B4D77"/>
    <w:rsid w:val="005B69A6"/>
    <w:rsid w:val="005C1A21"/>
    <w:rsid w:val="005C35AD"/>
    <w:rsid w:val="005C51B2"/>
    <w:rsid w:val="005D22B2"/>
    <w:rsid w:val="005D2BA7"/>
    <w:rsid w:val="005D2F69"/>
    <w:rsid w:val="005D72AD"/>
    <w:rsid w:val="005D7963"/>
    <w:rsid w:val="005E2C50"/>
    <w:rsid w:val="005E4682"/>
    <w:rsid w:val="005E692D"/>
    <w:rsid w:val="005F201A"/>
    <w:rsid w:val="005F46B5"/>
    <w:rsid w:val="005F486F"/>
    <w:rsid w:val="005F4FAD"/>
    <w:rsid w:val="0060101E"/>
    <w:rsid w:val="00602939"/>
    <w:rsid w:val="006067EA"/>
    <w:rsid w:val="00610E9E"/>
    <w:rsid w:val="006111F2"/>
    <w:rsid w:val="00615885"/>
    <w:rsid w:val="006166C7"/>
    <w:rsid w:val="00620A4F"/>
    <w:rsid w:val="00620F72"/>
    <w:rsid w:val="00623408"/>
    <w:rsid w:val="006245DA"/>
    <w:rsid w:val="0062642B"/>
    <w:rsid w:val="00627B94"/>
    <w:rsid w:val="0063123B"/>
    <w:rsid w:val="0063183B"/>
    <w:rsid w:val="0063231F"/>
    <w:rsid w:val="00634446"/>
    <w:rsid w:val="00634CBD"/>
    <w:rsid w:val="00635FA4"/>
    <w:rsid w:val="006369AC"/>
    <w:rsid w:val="00640B39"/>
    <w:rsid w:val="006424EC"/>
    <w:rsid w:val="00650E61"/>
    <w:rsid w:val="0065256A"/>
    <w:rsid w:val="00655ED0"/>
    <w:rsid w:val="00657C44"/>
    <w:rsid w:val="00665791"/>
    <w:rsid w:val="0067280A"/>
    <w:rsid w:val="00672EC8"/>
    <w:rsid w:val="00673C78"/>
    <w:rsid w:val="00676EC3"/>
    <w:rsid w:val="00682D5D"/>
    <w:rsid w:val="00686575"/>
    <w:rsid w:val="00686797"/>
    <w:rsid w:val="0069369C"/>
    <w:rsid w:val="00693A5D"/>
    <w:rsid w:val="006A1B0D"/>
    <w:rsid w:val="006A1B39"/>
    <w:rsid w:val="006A3D5C"/>
    <w:rsid w:val="006A3F90"/>
    <w:rsid w:val="006A5107"/>
    <w:rsid w:val="006A6FF2"/>
    <w:rsid w:val="006B044D"/>
    <w:rsid w:val="006B0F0D"/>
    <w:rsid w:val="006B1CF9"/>
    <w:rsid w:val="006B3D53"/>
    <w:rsid w:val="006B47EE"/>
    <w:rsid w:val="006B779D"/>
    <w:rsid w:val="006C0387"/>
    <w:rsid w:val="006C0AE5"/>
    <w:rsid w:val="006C21A8"/>
    <w:rsid w:val="006C4A5D"/>
    <w:rsid w:val="006C5EDC"/>
    <w:rsid w:val="006C6BAA"/>
    <w:rsid w:val="006C73EC"/>
    <w:rsid w:val="006C7B3A"/>
    <w:rsid w:val="006D1D65"/>
    <w:rsid w:val="006D408B"/>
    <w:rsid w:val="006D4657"/>
    <w:rsid w:val="006D7752"/>
    <w:rsid w:val="006E0E0C"/>
    <w:rsid w:val="006E2F87"/>
    <w:rsid w:val="006E5250"/>
    <w:rsid w:val="006E7462"/>
    <w:rsid w:val="006E760F"/>
    <w:rsid w:val="006F0933"/>
    <w:rsid w:val="006F1A01"/>
    <w:rsid w:val="006F28BC"/>
    <w:rsid w:val="006F300C"/>
    <w:rsid w:val="006F52F5"/>
    <w:rsid w:val="006F6260"/>
    <w:rsid w:val="006F7686"/>
    <w:rsid w:val="006F79DD"/>
    <w:rsid w:val="007002F8"/>
    <w:rsid w:val="0070090F"/>
    <w:rsid w:val="007122FD"/>
    <w:rsid w:val="00713580"/>
    <w:rsid w:val="007138A4"/>
    <w:rsid w:val="00715D6B"/>
    <w:rsid w:val="007166DE"/>
    <w:rsid w:val="007204C1"/>
    <w:rsid w:val="007218E1"/>
    <w:rsid w:val="00723138"/>
    <w:rsid w:val="00724A1F"/>
    <w:rsid w:val="007317E0"/>
    <w:rsid w:val="0073193D"/>
    <w:rsid w:val="0073487E"/>
    <w:rsid w:val="007373E0"/>
    <w:rsid w:val="00740478"/>
    <w:rsid w:val="00740A8A"/>
    <w:rsid w:val="00742DDD"/>
    <w:rsid w:val="00744921"/>
    <w:rsid w:val="00747D3F"/>
    <w:rsid w:val="00750FE3"/>
    <w:rsid w:val="0075360F"/>
    <w:rsid w:val="0075417E"/>
    <w:rsid w:val="0076020A"/>
    <w:rsid w:val="0076174E"/>
    <w:rsid w:val="00764495"/>
    <w:rsid w:val="00764561"/>
    <w:rsid w:val="00764978"/>
    <w:rsid w:val="00764F37"/>
    <w:rsid w:val="007708C6"/>
    <w:rsid w:val="00771D41"/>
    <w:rsid w:val="007721C4"/>
    <w:rsid w:val="0077280F"/>
    <w:rsid w:val="0077379F"/>
    <w:rsid w:val="00773918"/>
    <w:rsid w:val="007810E0"/>
    <w:rsid w:val="007A2E1B"/>
    <w:rsid w:val="007A345A"/>
    <w:rsid w:val="007B0257"/>
    <w:rsid w:val="007B1A80"/>
    <w:rsid w:val="007B221F"/>
    <w:rsid w:val="007B707D"/>
    <w:rsid w:val="007B7EDD"/>
    <w:rsid w:val="007C05A7"/>
    <w:rsid w:val="007C1CDE"/>
    <w:rsid w:val="007C2A32"/>
    <w:rsid w:val="007C3E83"/>
    <w:rsid w:val="007C4028"/>
    <w:rsid w:val="007C6D48"/>
    <w:rsid w:val="007D3717"/>
    <w:rsid w:val="007D54B9"/>
    <w:rsid w:val="007D5FCD"/>
    <w:rsid w:val="007D776B"/>
    <w:rsid w:val="007E01D2"/>
    <w:rsid w:val="007F3D78"/>
    <w:rsid w:val="007F4437"/>
    <w:rsid w:val="007F5695"/>
    <w:rsid w:val="0080242C"/>
    <w:rsid w:val="00802CD8"/>
    <w:rsid w:val="00803448"/>
    <w:rsid w:val="00805018"/>
    <w:rsid w:val="00807B0B"/>
    <w:rsid w:val="008114A2"/>
    <w:rsid w:val="00813ADC"/>
    <w:rsid w:val="008145F2"/>
    <w:rsid w:val="008211C0"/>
    <w:rsid w:val="00823499"/>
    <w:rsid w:val="00823D2F"/>
    <w:rsid w:val="008253C0"/>
    <w:rsid w:val="00825B03"/>
    <w:rsid w:val="00827BEE"/>
    <w:rsid w:val="008316D6"/>
    <w:rsid w:val="00831C58"/>
    <w:rsid w:val="00831E6C"/>
    <w:rsid w:val="0083342E"/>
    <w:rsid w:val="00834EF1"/>
    <w:rsid w:val="008368CB"/>
    <w:rsid w:val="00841AC0"/>
    <w:rsid w:val="00841D91"/>
    <w:rsid w:val="00843715"/>
    <w:rsid w:val="00844552"/>
    <w:rsid w:val="0085243E"/>
    <w:rsid w:val="008526C5"/>
    <w:rsid w:val="00852FB6"/>
    <w:rsid w:val="00852FD1"/>
    <w:rsid w:val="008554FB"/>
    <w:rsid w:val="00855570"/>
    <w:rsid w:val="00855907"/>
    <w:rsid w:val="00857AC9"/>
    <w:rsid w:val="00857C43"/>
    <w:rsid w:val="00857FBD"/>
    <w:rsid w:val="008637E6"/>
    <w:rsid w:val="008645AC"/>
    <w:rsid w:val="00865714"/>
    <w:rsid w:val="00866FD9"/>
    <w:rsid w:val="00870C38"/>
    <w:rsid w:val="00876421"/>
    <w:rsid w:val="008815F2"/>
    <w:rsid w:val="008839BB"/>
    <w:rsid w:val="00883E9F"/>
    <w:rsid w:val="00884DD1"/>
    <w:rsid w:val="00885A24"/>
    <w:rsid w:val="00886963"/>
    <w:rsid w:val="008875BA"/>
    <w:rsid w:val="00892D4B"/>
    <w:rsid w:val="008964C1"/>
    <w:rsid w:val="00896A7F"/>
    <w:rsid w:val="0089710F"/>
    <w:rsid w:val="008A0529"/>
    <w:rsid w:val="008A23C5"/>
    <w:rsid w:val="008A3266"/>
    <w:rsid w:val="008A36BA"/>
    <w:rsid w:val="008A46F9"/>
    <w:rsid w:val="008A5B1C"/>
    <w:rsid w:val="008A6027"/>
    <w:rsid w:val="008A626F"/>
    <w:rsid w:val="008A674E"/>
    <w:rsid w:val="008A78C0"/>
    <w:rsid w:val="008A7F84"/>
    <w:rsid w:val="008B0E99"/>
    <w:rsid w:val="008B13C3"/>
    <w:rsid w:val="008B1838"/>
    <w:rsid w:val="008B201B"/>
    <w:rsid w:val="008B3F8D"/>
    <w:rsid w:val="008B739B"/>
    <w:rsid w:val="008B7DE7"/>
    <w:rsid w:val="008C0398"/>
    <w:rsid w:val="008C1BEA"/>
    <w:rsid w:val="008C1BFD"/>
    <w:rsid w:val="008C4609"/>
    <w:rsid w:val="008C4C09"/>
    <w:rsid w:val="008C4EF3"/>
    <w:rsid w:val="008C5A22"/>
    <w:rsid w:val="008C7A92"/>
    <w:rsid w:val="008D2C2A"/>
    <w:rsid w:val="008D30E6"/>
    <w:rsid w:val="008D325A"/>
    <w:rsid w:val="008D3B25"/>
    <w:rsid w:val="008D68C6"/>
    <w:rsid w:val="008D7BDB"/>
    <w:rsid w:val="008E0E66"/>
    <w:rsid w:val="008E23BE"/>
    <w:rsid w:val="008E49CB"/>
    <w:rsid w:val="008E5D6E"/>
    <w:rsid w:val="008E6624"/>
    <w:rsid w:val="008F27E4"/>
    <w:rsid w:val="008F476B"/>
    <w:rsid w:val="008F5A87"/>
    <w:rsid w:val="008F65AF"/>
    <w:rsid w:val="00903942"/>
    <w:rsid w:val="00904443"/>
    <w:rsid w:val="00905A67"/>
    <w:rsid w:val="00907D37"/>
    <w:rsid w:val="00910BDB"/>
    <w:rsid w:val="009132D4"/>
    <w:rsid w:val="00916B40"/>
    <w:rsid w:val="00917402"/>
    <w:rsid w:val="0091798A"/>
    <w:rsid w:val="009208D1"/>
    <w:rsid w:val="00920906"/>
    <w:rsid w:val="0092293B"/>
    <w:rsid w:val="00923C8A"/>
    <w:rsid w:val="00923D4F"/>
    <w:rsid w:val="00923DD0"/>
    <w:rsid w:val="009258F6"/>
    <w:rsid w:val="009263C8"/>
    <w:rsid w:val="009263D6"/>
    <w:rsid w:val="00933EFE"/>
    <w:rsid w:val="00941801"/>
    <w:rsid w:val="00941B6B"/>
    <w:rsid w:val="009429E7"/>
    <w:rsid w:val="009441F1"/>
    <w:rsid w:val="00946716"/>
    <w:rsid w:val="009477D9"/>
    <w:rsid w:val="0095007D"/>
    <w:rsid w:val="00950323"/>
    <w:rsid w:val="00951E3D"/>
    <w:rsid w:val="0095251D"/>
    <w:rsid w:val="0096182D"/>
    <w:rsid w:val="00962238"/>
    <w:rsid w:val="00962DFC"/>
    <w:rsid w:val="00964805"/>
    <w:rsid w:val="009665CC"/>
    <w:rsid w:val="00967C6A"/>
    <w:rsid w:val="00970316"/>
    <w:rsid w:val="00970D12"/>
    <w:rsid w:val="0097125F"/>
    <w:rsid w:val="0097257A"/>
    <w:rsid w:val="00975F12"/>
    <w:rsid w:val="00977A96"/>
    <w:rsid w:val="00986333"/>
    <w:rsid w:val="0098705C"/>
    <w:rsid w:val="00987883"/>
    <w:rsid w:val="00992297"/>
    <w:rsid w:val="009945ED"/>
    <w:rsid w:val="00994CD0"/>
    <w:rsid w:val="00995DB3"/>
    <w:rsid w:val="009A0FAD"/>
    <w:rsid w:val="009A569F"/>
    <w:rsid w:val="009A75E4"/>
    <w:rsid w:val="009A7E56"/>
    <w:rsid w:val="009B0579"/>
    <w:rsid w:val="009B0C4A"/>
    <w:rsid w:val="009B0C81"/>
    <w:rsid w:val="009B45C3"/>
    <w:rsid w:val="009C27F0"/>
    <w:rsid w:val="009C4773"/>
    <w:rsid w:val="009C483E"/>
    <w:rsid w:val="009C5916"/>
    <w:rsid w:val="009C7D0F"/>
    <w:rsid w:val="009D2100"/>
    <w:rsid w:val="009D2D81"/>
    <w:rsid w:val="009E12C0"/>
    <w:rsid w:val="009E1F4B"/>
    <w:rsid w:val="009E50C6"/>
    <w:rsid w:val="009E63D4"/>
    <w:rsid w:val="009F222D"/>
    <w:rsid w:val="009F4D40"/>
    <w:rsid w:val="009F5AC5"/>
    <w:rsid w:val="009F619B"/>
    <w:rsid w:val="00A00A18"/>
    <w:rsid w:val="00A01EE5"/>
    <w:rsid w:val="00A026E4"/>
    <w:rsid w:val="00A04D48"/>
    <w:rsid w:val="00A0577E"/>
    <w:rsid w:val="00A0656B"/>
    <w:rsid w:val="00A0677C"/>
    <w:rsid w:val="00A06EEC"/>
    <w:rsid w:val="00A072DD"/>
    <w:rsid w:val="00A10B61"/>
    <w:rsid w:val="00A11F45"/>
    <w:rsid w:val="00A16D1C"/>
    <w:rsid w:val="00A24A93"/>
    <w:rsid w:val="00A27CBC"/>
    <w:rsid w:val="00A303C4"/>
    <w:rsid w:val="00A33350"/>
    <w:rsid w:val="00A35CE6"/>
    <w:rsid w:val="00A35E7B"/>
    <w:rsid w:val="00A36FFE"/>
    <w:rsid w:val="00A434FD"/>
    <w:rsid w:val="00A446DA"/>
    <w:rsid w:val="00A4525C"/>
    <w:rsid w:val="00A45781"/>
    <w:rsid w:val="00A50CBF"/>
    <w:rsid w:val="00A52734"/>
    <w:rsid w:val="00A52FE3"/>
    <w:rsid w:val="00A553B6"/>
    <w:rsid w:val="00A60B6E"/>
    <w:rsid w:val="00A6185F"/>
    <w:rsid w:val="00A61C7F"/>
    <w:rsid w:val="00A626FC"/>
    <w:rsid w:val="00A62B37"/>
    <w:rsid w:val="00A62CC2"/>
    <w:rsid w:val="00A63856"/>
    <w:rsid w:val="00A70884"/>
    <w:rsid w:val="00A710B2"/>
    <w:rsid w:val="00A71777"/>
    <w:rsid w:val="00A71884"/>
    <w:rsid w:val="00A72022"/>
    <w:rsid w:val="00A72999"/>
    <w:rsid w:val="00A73245"/>
    <w:rsid w:val="00A73BBA"/>
    <w:rsid w:val="00A73FD8"/>
    <w:rsid w:val="00A7444E"/>
    <w:rsid w:val="00A751D3"/>
    <w:rsid w:val="00A76F1D"/>
    <w:rsid w:val="00A806C2"/>
    <w:rsid w:val="00A81048"/>
    <w:rsid w:val="00A8129E"/>
    <w:rsid w:val="00A84BA5"/>
    <w:rsid w:val="00A84BF3"/>
    <w:rsid w:val="00A85B8E"/>
    <w:rsid w:val="00A85DCA"/>
    <w:rsid w:val="00A90438"/>
    <w:rsid w:val="00A913E0"/>
    <w:rsid w:val="00A96DA0"/>
    <w:rsid w:val="00AA2818"/>
    <w:rsid w:val="00AA3B72"/>
    <w:rsid w:val="00AA3E43"/>
    <w:rsid w:val="00AA4359"/>
    <w:rsid w:val="00AA543B"/>
    <w:rsid w:val="00AA5ACA"/>
    <w:rsid w:val="00AA6604"/>
    <w:rsid w:val="00AA7065"/>
    <w:rsid w:val="00AA75D5"/>
    <w:rsid w:val="00AA7E0A"/>
    <w:rsid w:val="00AB03FE"/>
    <w:rsid w:val="00AB0B6C"/>
    <w:rsid w:val="00AB2A94"/>
    <w:rsid w:val="00AB3DF0"/>
    <w:rsid w:val="00AB58B2"/>
    <w:rsid w:val="00AB760A"/>
    <w:rsid w:val="00AC4C6A"/>
    <w:rsid w:val="00AC5167"/>
    <w:rsid w:val="00AD0D79"/>
    <w:rsid w:val="00AD0F5C"/>
    <w:rsid w:val="00AD369B"/>
    <w:rsid w:val="00AD48AD"/>
    <w:rsid w:val="00AD6890"/>
    <w:rsid w:val="00AD7B0D"/>
    <w:rsid w:val="00AD7E86"/>
    <w:rsid w:val="00AE1225"/>
    <w:rsid w:val="00AE1497"/>
    <w:rsid w:val="00AE20DF"/>
    <w:rsid w:val="00AE29A7"/>
    <w:rsid w:val="00AF246E"/>
    <w:rsid w:val="00AF479D"/>
    <w:rsid w:val="00AF504A"/>
    <w:rsid w:val="00AF635B"/>
    <w:rsid w:val="00AF75C8"/>
    <w:rsid w:val="00B00C54"/>
    <w:rsid w:val="00B00EE9"/>
    <w:rsid w:val="00B030E6"/>
    <w:rsid w:val="00B059FD"/>
    <w:rsid w:val="00B07332"/>
    <w:rsid w:val="00B20E51"/>
    <w:rsid w:val="00B219F9"/>
    <w:rsid w:val="00B23528"/>
    <w:rsid w:val="00B27C68"/>
    <w:rsid w:val="00B31DEE"/>
    <w:rsid w:val="00B346F4"/>
    <w:rsid w:val="00B34DD8"/>
    <w:rsid w:val="00B36E5C"/>
    <w:rsid w:val="00B42710"/>
    <w:rsid w:val="00B43721"/>
    <w:rsid w:val="00B44194"/>
    <w:rsid w:val="00B47060"/>
    <w:rsid w:val="00B47693"/>
    <w:rsid w:val="00B50CD0"/>
    <w:rsid w:val="00B57895"/>
    <w:rsid w:val="00B57992"/>
    <w:rsid w:val="00B608DD"/>
    <w:rsid w:val="00B60E31"/>
    <w:rsid w:val="00B63ADF"/>
    <w:rsid w:val="00B70CD3"/>
    <w:rsid w:val="00B7298C"/>
    <w:rsid w:val="00B73A04"/>
    <w:rsid w:val="00B7429A"/>
    <w:rsid w:val="00B74631"/>
    <w:rsid w:val="00B74646"/>
    <w:rsid w:val="00B75C45"/>
    <w:rsid w:val="00B76664"/>
    <w:rsid w:val="00B76838"/>
    <w:rsid w:val="00B8095D"/>
    <w:rsid w:val="00B81622"/>
    <w:rsid w:val="00B831B3"/>
    <w:rsid w:val="00B8386D"/>
    <w:rsid w:val="00B8604A"/>
    <w:rsid w:val="00B861FE"/>
    <w:rsid w:val="00B924C4"/>
    <w:rsid w:val="00B92CC7"/>
    <w:rsid w:val="00B92CE9"/>
    <w:rsid w:val="00B9389A"/>
    <w:rsid w:val="00B955BA"/>
    <w:rsid w:val="00B96A56"/>
    <w:rsid w:val="00B96F7B"/>
    <w:rsid w:val="00BA1F2C"/>
    <w:rsid w:val="00BA2F0B"/>
    <w:rsid w:val="00BA32AD"/>
    <w:rsid w:val="00BA4771"/>
    <w:rsid w:val="00BA4AF0"/>
    <w:rsid w:val="00BA4E68"/>
    <w:rsid w:val="00BA5289"/>
    <w:rsid w:val="00BA6421"/>
    <w:rsid w:val="00BB017B"/>
    <w:rsid w:val="00BB01AD"/>
    <w:rsid w:val="00BB1FB2"/>
    <w:rsid w:val="00BB34F9"/>
    <w:rsid w:val="00BC126B"/>
    <w:rsid w:val="00BC32A7"/>
    <w:rsid w:val="00BC49BB"/>
    <w:rsid w:val="00BD4970"/>
    <w:rsid w:val="00BD4E67"/>
    <w:rsid w:val="00BD6E84"/>
    <w:rsid w:val="00BD750D"/>
    <w:rsid w:val="00BE0058"/>
    <w:rsid w:val="00BE0862"/>
    <w:rsid w:val="00BE148F"/>
    <w:rsid w:val="00BE2C40"/>
    <w:rsid w:val="00BE3190"/>
    <w:rsid w:val="00BE3905"/>
    <w:rsid w:val="00BE429F"/>
    <w:rsid w:val="00BE5AA8"/>
    <w:rsid w:val="00BE70CF"/>
    <w:rsid w:val="00BF358E"/>
    <w:rsid w:val="00BF5F1D"/>
    <w:rsid w:val="00BF689F"/>
    <w:rsid w:val="00C008DD"/>
    <w:rsid w:val="00C02697"/>
    <w:rsid w:val="00C02E8C"/>
    <w:rsid w:val="00C037A6"/>
    <w:rsid w:val="00C03F8A"/>
    <w:rsid w:val="00C05D24"/>
    <w:rsid w:val="00C1004C"/>
    <w:rsid w:val="00C110DF"/>
    <w:rsid w:val="00C13F6C"/>
    <w:rsid w:val="00C17391"/>
    <w:rsid w:val="00C200D7"/>
    <w:rsid w:val="00C217A0"/>
    <w:rsid w:val="00C24A2E"/>
    <w:rsid w:val="00C25CFC"/>
    <w:rsid w:val="00C31029"/>
    <w:rsid w:val="00C32FE1"/>
    <w:rsid w:val="00C36956"/>
    <w:rsid w:val="00C40577"/>
    <w:rsid w:val="00C405CB"/>
    <w:rsid w:val="00C43658"/>
    <w:rsid w:val="00C43770"/>
    <w:rsid w:val="00C4502F"/>
    <w:rsid w:val="00C46047"/>
    <w:rsid w:val="00C50F78"/>
    <w:rsid w:val="00C52B1A"/>
    <w:rsid w:val="00C540E0"/>
    <w:rsid w:val="00C55ABE"/>
    <w:rsid w:val="00C57D84"/>
    <w:rsid w:val="00C639B5"/>
    <w:rsid w:val="00C64CDB"/>
    <w:rsid w:val="00C666BF"/>
    <w:rsid w:val="00C673BD"/>
    <w:rsid w:val="00C70AB8"/>
    <w:rsid w:val="00C71472"/>
    <w:rsid w:val="00C7337F"/>
    <w:rsid w:val="00C75C1A"/>
    <w:rsid w:val="00C77FF1"/>
    <w:rsid w:val="00C84657"/>
    <w:rsid w:val="00C86880"/>
    <w:rsid w:val="00C86E98"/>
    <w:rsid w:val="00C90543"/>
    <w:rsid w:val="00C935B4"/>
    <w:rsid w:val="00C9386D"/>
    <w:rsid w:val="00C9729E"/>
    <w:rsid w:val="00CA06E7"/>
    <w:rsid w:val="00CA3160"/>
    <w:rsid w:val="00CA3C3D"/>
    <w:rsid w:val="00CA3CCA"/>
    <w:rsid w:val="00CB0024"/>
    <w:rsid w:val="00CB3F3F"/>
    <w:rsid w:val="00CB5B17"/>
    <w:rsid w:val="00CC33AB"/>
    <w:rsid w:val="00CC48D0"/>
    <w:rsid w:val="00CC5289"/>
    <w:rsid w:val="00CC56E7"/>
    <w:rsid w:val="00CC6F6E"/>
    <w:rsid w:val="00CD09E7"/>
    <w:rsid w:val="00CD12D8"/>
    <w:rsid w:val="00CD2F98"/>
    <w:rsid w:val="00CD33F3"/>
    <w:rsid w:val="00CD3AD6"/>
    <w:rsid w:val="00CE1F09"/>
    <w:rsid w:val="00CE25C5"/>
    <w:rsid w:val="00CE3711"/>
    <w:rsid w:val="00CE4186"/>
    <w:rsid w:val="00CF2087"/>
    <w:rsid w:val="00CF227B"/>
    <w:rsid w:val="00CF2D53"/>
    <w:rsid w:val="00CF3432"/>
    <w:rsid w:val="00CF46B5"/>
    <w:rsid w:val="00CF55D5"/>
    <w:rsid w:val="00CF5871"/>
    <w:rsid w:val="00D00583"/>
    <w:rsid w:val="00D009DD"/>
    <w:rsid w:val="00D0292A"/>
    <w:rsid w:val="00D031EB"/>
    <w:rsid w:val="00D07D46"/>
    <w:rsid w:val="00D108D2"/>
    <w:rsid w:val="00D12835"/>
    <w:rsid w:val="00D130EB"/>
    <w:rsid w:val="00D14104"/>
    <w:rsid w:val="00D204C5"/>
    <w:rsid w:val="00D20F6F"/>
    <w:rsid w:val="00D21BBD"/>
    <w:rsid w:val="00D2238A"/>
    <w:rsid w:val="00D236C8"/>
    <w:rsid w:val="00D24914"/>
    <w:rsid w:val="00D24AB2"/>
    <w:rsid w:val="00D27857"/>
    <w:rsid w:val="00D30E85"/>
    <w:rsid w:val="00D326D7"/>
    <w:rsid w:val="00D336E0"/>
    <w:rsid w:val="00D340BE"/>
    <w:rsid w:val="00D40B52"/>
    <w:rsid w:val="00D4124B"/>
    <w:rsid w:val="00D427F2"/>
    <w:rsid w:val="00D42CCC"/>
    <w:rsid w:val="00D43E68"/>
    <w:rsid w:val="00D443FB"/>
    <w:rsid w:val="00D45042"/>
    <w:rsid w:val="00D45F47"/>
    <w:rsid w:val="00D47FCB"/>
    <w:rsid w:val="00D50FFB"/>
    <w:rsid w:val="00D52EC6"/>
    <w:rsid w:val="00D54453"/>
    <w:rsid w:val="00D54AD0"/>
    <w:rsid w:val="00D556BF"/>
    <w:rsid w:val="00D60710"/>
    <w:rsid w:val="00D61798"/>
    <w:rsid w:val="00D62CB1"/>
    <w:rsid w:val="00D66F7F"/>
    <w:rsid w:val="00D67634"/>
    <w:rsid w:val="00D71F81"/>
    <w:rsid w:val="00D726F9"/>
    <w:rsid w:val="00D731D5"/>
    <w:rsid w:val="00D753F8"/>
    <w:rsid w:val="00D756A9"/>
    <w:rsid w:val="00D769E1"/>
    <w:rsid w:val="00D76AAD"/>
    <w:rsid w:val="00D77944"/>
    <w:rsid w:val="00D81F8C"/>
    <w:rsid w:val="00D84579"/>
    <w:rsid w:val="00D859D5"/>
    <w:rsid w:val="00D85C5E"/>
    <w:rsid w:val="00D875E6"/>
    <w:rsid w:val="00D9179B"/>
    <w:rsid w:val="00D91E89"/>
    <w:rsid w:val="00D926DE"/>
    <w:rsid w:val="00D936F8"/>
    <w:rsid w:val="00D94D4A"/>
    <w:rsid w:val="00D97724"/>
    <w:rsid w:val="00DA17FB"/>
    <w:rsid w:val="00DA2027"/>
    <w:rsid w:val="00DA34C6"/>
    <w:rsid w:val="00DA469D"/>
    <w:rsid w:val="00DB12A6"/>
    <w:rsid w:val="00DB12D6"/>
    <w:rsid w:val="00DB1A8E"/>
    <w:rsid w:val="00DB2818"/>
    <w:rsid w:val="00DB50D0"/>
    <w:rsid w:val="00DB5D05"/>
    <w:rsid w:val="00DB6A18"/>
    <w:rsid w:val="00DC2A33"/>
    <w:rsid w:val="00DC3ABD"/>
    <w:rsid w:val="00DC5C27"/>
    <w:rsid w:val="00DC6F52"/>
    <w:rsid w:val="00DC74C5"/>
    <w:rsid w:val="00DD0C90"/>
    <w:rsid w:val="00DD491C"/>
    <w:rsid w:val="00DD6057"/>
    <w:rsid w:val="00DE03E4"/>
    <w:rsid w:val="00DE20EE"/>
    <w:rsid w:val="00DE2591"/>
    <w:rsid w:val="00DE3CE2"/>
    <w:rsid w:val="00DE4754"/>
    <w:rsid w:val="00DE49F7"/>
    <w:rsid w:val="00DE5AD0"/>
    <w:rsid w:val="00DE6920"/>
    <w:rsid w:val="00DF05E9"/>
    <w:rsid w:val="00DF1D1A"/>
    <w:rsid w:val="00DF334B"/>
    <w:rsid w:val="00E01E6C"/>
    <w:rsid w:val="00E02DA9"/>
    <w:rsid w:val="00E03B22"/>
    <w:rsid w:val="00E03C4C"/>
    <w:rsid w:val="00E03D59"/>
    <w:rsid w:val="00E04C1F"/>
    <w:rsid w:val="00E05DA2"/>
    <w:rsid w:val="00E0700B"/>
    <w:rsid w:val="00E1084C"/>
    <w:rsid w:val="00E11510"/>
    <w:rsid w:val="00E14EB9"/>
    <w:rsid w:val="00E1723C"/>
    <w:rsid w:val="00E2021E"/>
    <w:rsid w:val="00E2162E"/>
    <w:rsid w:val="00E21A15"/>
    <w:rsid w:val="00E27BC2"/>
    <w:rsid w:val="00E311CA"/>
    <w:rsid w:val="00E3265B"/>
    <w:rsid w:val="00E330F9"/>
    <w:rsid w:val="00E34747"/>
    <w:rsid w:val="00E3579F"/>
    <w:rsid w:val="00E37814"/>
    <w:rsid w:val="00E415C5"/>
    <w:rsid w:val="00E44F9D"/>
    <w:rsid w:val="00E53B98"/>
    <w:rsid w:val="00E56D5B"/>
    <w:rsid w:val="00E61005"/>
    <w:rsid w:val="00E622CA"/>
    <w:rsid w:val="00E64CC6"/>
    <w:rsid w:val="00E718B3"/>
    <w:rsid w:val="00E71B2D"/>
    <w:rsid w:val="00E74B97"/>
    <w:rsid w:val="00E76712"/>
    <w:rsid w:val="00E768A0"/>
    <w:rsid w:val="00E8091B"/>
    <w:rsid w:val="00E8200C"/>
    <w:rsid w:val="00E84361"/>
    <w:rsid w:val="00E84A0C"/>
    <w:rsid w:val="00E8586B"/>
    <w:rsid w:val="00E862DE"/>
    <w:rsid w:val="00E86FF7"/>
    <w:rsid w:val="00E903EF"/>
    <w:rsid w:val="00E90438"/>
    <w:rsid w:val="00E90E54"/>
    <w:rsid w:val="00E91058"/>
    <w:rsid w:val="00E92146"/>
    <w:rsid w:val="00E9417F"/>
    <w:rsid w:val="00E94DE0"/>
    <w:rsid w:val="00EA020B"/>
    <w:rsid w:val="00EA0B7F"/>
    <w:rsid w:val="00EA0F0D"/>
    <w:rsid w:val="00EA228C"/>
    <w:rsid w:val="00EA236B"/>
    <w:rsid w:val="00EA3753"/>
    <w:rsid w:val="00EA5B6D"/>
    <w:rsid w:val="00EA7776"/>
    <w:rsid w:val="00EB2899"/>
    <w:rsid w:val="00EB330F"/>
    <w:rsid w:val="00EB5F91"/>
    <w:rsid w:val="00EB7229"/>
    <w:rsid w:val="00EC15D3"/>
    <w:rsid w:val="00EC1ACB"/>
    <w:rsid w:val="00EC2D62"/>
    <w:rsid w:val="00EC3F88"/>
    <w:rsid w:val="00EC60F9"/>
    <w:rsid w:val="00ED004C"/>
    <w:rsid w:val="00ED01D0"/>
    <w:rsid w:val="00ED1CBB"/>
    <w:rsid w:val="00ED2CB5"/>
    <w:rsid w:val="00ED2E6F"/>
    <w:rsid w:val="00ED4220"/>
    <w:rsid w:val="00ED4E2F"/>
    <w:rsid w:val="00ED6CF7"/>
    <w:rsid w:val="00ED7DB3"/>
    <w:rsid w:val="00ED7E5B"/>
    <w:rsid w:val="00EE0568"/>
    <w:rsid w:val="00EE05FC"/>
    <w:rsid w:val="00EE1189"/>
    <w:rsid w:val="00EE5251"/>
    <w:rsid w:val="00EE528D"/>
    <w:rsid w:val="00EE6C33"/>
    <w:rsid w:val="00EE6DB8"/>
    <w:rsid w:val="00EE70FE"/>
    <w:rsid w:val="00EF00A4"/>
    <w:rsid w:val="00EF0E85"/>
    <w:rsid w:val="00EF2B6D"/>
    <w:rsid w:val="00EF302F"/>
    <w:rsid w:val="00EF374E"/>
    <w:rsid w:val="00EF540C"/>
    <w:rsid w:val="00F00755"/>
    <w:rsid w:val="00F00938"/>
    <w:rsid w:val="00F00BEB"/>
    <w:rsid w:val="00F02015"/>
    <w:rsid w:val="00F05B87"/>
    <w:rsid w:val="00F06B67"/>
    <w:rsid w:val="00F074DB"/>
    <w:rsid w:val="00F10477"/>
    <w:rsid w:val="00F10AFC"/>
    <w:rsid w:val="00F13540"/>
    <w:rsid w:val="00F15F78"/>
    <w:rsid w:val="00F16ADF"/>
    <w:rsid w:val="00F17644"/>
    <w:rsid w:val="00F20617"/>
    <w:rsid w:val="00F21E2E"/>
    <w:rsid w:val="00F2326F"/>
    <w:rsid w:val="00F2576A"/>
    <w:rsid w:val="00F25800"/>
    <w:rsid w:val="00F26E9F"/>
    <w:rsid w:val="00F27D53"/>
    <w:rsid w:val="00F31282"/>
    <w:rsid w:val="00F314B7"/>
    <w:rsid w:val="00F31F09"/>
    <w:rsid w:val="00F322A5"/>
    <w:rsid w:val="00F330D9"/>
    <w:rsid w:val="00F34E9E"/>
    <w:rsid w:val="00F34EBF"/>
    <w:rsid w:val="00F361A3"/>
    <w:rsid w:val="00F36F17"/>
    <w:rsid w:val="00F376D9"/>
    <w:rsid w:val="00F37CA9"/>
    <w:rsid w:val="00F43131"/>
    <w:rsid w:val="00F4461F"/>
    <w:rsid w:val="00F46B63"/>
    <w:rsid w:val="00F529E5"/>
    <w:rsid w:val="00F52E69"/>
    <w:rsid w:val="00F53292"/>
    <w:rsid w:val="00F5440A"/>
    <w:rsid w:val="00F544EB"/>
    <w:rsid w:val="00F54627"/>
    <w:rsid w:val="00F625C4"/>
    <w:rsid w:val="00F6326B"/>
    <w:rsid w:val="00F64B24"/>
    <w:rsid w:val="00F66363"/>
    <w:rsid w:val="00F66E55"/>
    <w:rsid w:val="00F66FE5"/>
    <w:rsid w:val="00F730D5"/>
    <w:rsid w:val="00F7390D"/>
    <w:rsid w:val="00F73ABB"/>
    <w:rsid w:val="00F74311"/>
    <w:rsid w:val="00F75986"/>
    <w:rsid w:val="00F7621D"/>
    <w:rsid w:val="00F76B2A"/>
    <w:rsid w:val="00F80228"/>
    <w:rsid w:val="00F805FB"/>
    <w:rsid w:val="00F80C5C"/>
    <w:rsid w:val="00F856E5"/>
    <w:rsid w:val="00F86BCE"/>
    <w:rsid w:val="00F9237B"/>
    <w:rsid w:val="00F94E59"/>
    <w:rsid w:val="00FA2510"/>
    <w:rsid w:val="00FA30F4"/>
    <w:rsid w:val="00FA379D"/>
    <w:rsid w:val="00FA3C18"/>
    <w:rsid w:val="00FA72F5"/>
    <w:rsid w:val="00FB1AFD"/>
    <w:rsid w:val="00FB3BA3"/>
    <w:rsid w:val="00FB3F68"/>
    <w:rsid w:val="00FB45B2"/>
    <w:rsid w:val="00FC1DD3"/>
    <w:rsid w:val="00FC4147"/>
    <w:rsid w:val="00FC4A76"/>
    <w:rsid w:val="00FC5812"/>
    <w:rsid w:val="00FC60A5"/>
    <w:rsid w:val="00FC78A4"/>
    <w:rsid w:val="00FD1F72"/>
    <w:rsid w:val="00FD2B7F"/>
    <w:rsid w:val="00FD3E77"/>
    <w:rsid w:val="00FD71AB"/>
    <w:rsid w:val="00FE080D"/>
    <w:rsid w:val="00FE0A61"/>
    <w:rsid w:val="00FE20AC"/>
    <w:rsid w:val="00FE20B3"/>
    <w:rsid w:val="00FE5D7F"/>
    <w:rsid w:val="00FF766E"/>
    <w:rsid w:val="233139A1"/>
    <w:rsid w:val="259D70CC"/>
    <w:rsid w:val="52862819"/>
    <w:rsid w:val="57A26D7F"/>
    <w:rsid w:val="72C21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8AAB056"/>
  <w14:defaultImageDpi w14:val="32767"/>
  <w15:docId w15:val="{73D73E97-C48D-432E-9028-FA9F8071B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qFormat="1"/>
    <w:lsdException w:name="annotation text" w:semiHidden="1" w:uiPriority="0" w:unhideWhenUsed="1" w:qFormat="1"/>
    <w:lsdException w:name="head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qFormat="1"/>
    <w:lsdException w:name="annotation reference" w:semiHidden="1" w:uiPriority="0" w:unhideWhenUsed="1" w:qFormat="1"/>
    <w:lsdException w:name="line number" w:semiHidden="1" w:unhideWhenUsed="1"/>
    <w:lsdException w:name="page number" w:uiPriority="0" w:qFormat="1"/>
    <w:lsdException w:name="endnote reference" w:unhideWhenUsed="1" w:qFormat="1"/>
    <w:lsdException w:name="endnote text" w:uiPriority="0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iPriority="0" w:unhideWhenUsed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宋体" w:hAnsi="宋体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kern w:val="0"/>
      <w:sz w:val="32"/>
      <w:szCs w:val="32"/>
    </w:rPr>
  </w:style>
  <w:style w:type="paragraph" w:styleId="5">
    <w:name w:val="heading 5"/>
    <w:basedOn w:val="a"/>
    <w:next w:val="a"/>
    <w:link w:val="51"/>
    <w:uiPriority w:val="9"/>
    <w:qFormat/>
    <w:pPr>
      <w:keepNext/>
      <w:keepLines/>
      <w:spacing w:before="280" w:after="290" w:line="376" w:lineRule="auto"/>
      <w:textAlignment w:val="center"/>
      <w:outlineLvl w:val="4"/>
    </w:pPr>
    <w:rPr>
      <w:rFonts w:ascii="宋体-方正超大字符集" w:eastAsia="宋体-方正超大字符集" w:hAnsi="Calibr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="Cambria" w:eastAsia="黑体" w:hAnsi="Cambria"/>
      <w:sz w:val="20"/>
      <w:szCs w:val="20"/>
    </w:rPr>
  </w:style>
  <w:style w:type="paragraph" w:styleId="a4">
    <w:name w:val="Document Map"/>
    <w:basedOn w:val="a"/>
    <w:link w:val="11"/>
    <w:unhideWhenUsed/>
    <w:qFormat/>
    <w:pPr>
      <w:spacing w:line="360" w:lineRule="auto"/>
      <w:textAlignment w:val="center"/>
    </w:pPr>
    <w:rPr>
      <w:rFonts w:hAnsi="Times New Roman"/>
      <w:sz w:val="18"/>
      <w:szCs w:val="18"/>
    </w:rPr>
  </w:style>
  <w:style w:type="paragraph" w:styleId="a5">
    <w:name w:val="annotation text"/>
    <w:basedOn w:val="a"/>
    <w:link w:val="a6"/>
    <w:semiHidden/>
    <w:unhideWhenUsed/>
    <w:qFormat/>
    <w:pPr>
      <w:jc w:val="left"/>
      <w:textAlignment w:val="center"/>
    </w:pPr>
    <w:rPr>
      <w:rFonts w:asciiTheme="minorHAnsi" w:eastAsiaTheme="minorEastAsia" w:hAnsiTheme="minorHAnsi" w:cstheme="minorBidi"/>
      <w:sz w:val="21"/>
    </w:rPr>
  </w:style>
  <w:style w:type="paragraph" w:styleId="a7">
    <w:name w:val="Body Text"/>
    <w:basedOn w:val="a"/>
    <w:link w:val="a8"/>
    <w:qFormat/>
    <w:pPr>
      <w:spacing w:after="120"/>
    </w:pPr>
    <w:rPr>
      <w:rFonts w:ascii="Calibri" w:hAnsi="Calibri"/>
      <w:kern w:val="0"/>
      <w:sz w:val="20"/>
      <w:szCs w:val="20"/>
    </w:rPr>
  </w:style>
  <w:style w:type="paragraph" w:styleId="a9">
    <w:name w:val="Body Text Indent"/>
    <w:basedOn w:val="a"/>
    <w:link w:val="aa"/>
    <w:qFormat/>
    <w:pPr>
      <w:snapToGrid w:val="0"/>
      <w:spacing w:after="120" w:line="366" w:lineRule="atLeast"/>
      <w:ind w:leftChars="200" w:left="420" w:firstLineChars="200" w:firstLine="200"/>
    </w:pPr>
    <w:rPr>
      <w:rFonts w:ascii="Times New Roman" w:eastAsia="方正书宋简体" w:hAnsi="Times New Roman"/>
      <w:sz w:val="20"/>
      <w:szCs w:val="24"/>
    </w:rPr>
  </w:style>
  <w:style w:type="paragraph" w:styleId="ab">
    <w:name w:val="Date"/>
    <w:basedOn w:val="a"/>
    <w:next w:val="a"/>
    <w:link w:val="ac"/>
    <w:unhideWhenUsed/>
    <w:pPr>
      <w:ind w:leftChars="2500" w:left="100"/>
    </w:pPr>
  </w:style>
  <w:style w:type="paragraph" w:styleId="ad">
    <w:name w:val="endnote text"/>
    <w:basedOn w:val="a"/>
    <w:link w:val="12"/>
    <w:unhideWhenUsed/>
    <w:qFormat/>
    <w:pPr>
      <w:snapToGrid w:val="0"/>
      <w:jc w:val="left"/>
    </w:pPr>
  </w:style>
  <w:style w:type="paragraph" w:styleId="ae">
    <w:name w:val="Balloon Text"/>
    <w:basedOn w:val="a"/>
    <w:link w:val="af"/>
    <w:uiPriority w:val="99"/>
    <w:unhideWhenUsed/>
    <w:qFormat/>
    <w:rPr>
      <w:sz w:val="18"/>
      <w:szCs w:val="18"/>
    </w:rPr>
  </w:style>
  <w:style w:type="paragraph" w:styleId="af0">
    <w:name w:val="footer"/>
    <w:basedOn w:val="a"/>
    <w:link w:val="af1"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eastAsia="PMingLiU" w:hAnsi="Times New Roman"/>
      <w:sz w:val="20"/>
      <w:szCs w:val="20"/>
      <w:lang w:eastAsia="zh-TW"/>
    </w:rPr>
  </w:style>
  <w:style w:type="paragraph" w:styleId="af2">
    <w:name w:val="header"/>
    <w:basedOn w:val="a"/>
    <w:link w:val="af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4">
    <w:name w:val="Subtitle"/>
    <w:basedOn w:val="a"/>
    <w:next w:val="a"/>
    <w:link w:val="13"/>
    <w:uiPriority w:val="11"/>
    <w:qFormat/>
    <w:pPr>
      <w:spacing w:beforeLines="100" w:before="100" w:afterLines="100" w:after="100" w:line="360" w:lineRule="auto"/>
      <w:jc w:val="center"/>
      <w:textAlignment w:val="center"/>
      <w:outlineLvl w:val="1"/>
    </w:pPr>
    <w:rPr>
      <w:rFonts w:ascii="Cambria" w:hAnsi="Cambria"/>
      <w:b/>
      <w:bCs/>
      <w:kern w:val="28"/>
      <w:szCs w:val="32"/>
    </w:rPr>
  </w:style>
  <w:style w:type="paragraph" w:styleId="af5">
    <w:name w:val="footnote text"/>
    <w:basedOn w:val="a"/>
    <w:link w:val="14"/>
    <w:uiPriority w:val="99"/>
    <w:qFormat/>
    <w:pPr>
      <w:snapToGrid w:val="0"/>
      <w:jc w:val="left"/>
    </w:pPr>
    <w:rPr>
      <w:rFonts w:ascii="Times New Roman" w:eastAsia="PMingLiU" w:hAnsi="Times New Roman"/>
      <w:sz w:val="20"/>
      <w:szCs w:val="20"/>
      <w:lang w:eastAsia="zh-TW"/>
    </w:rPr>
  </w:style>
  <w:style w:type="paragraph" w:styleId="af6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cs="宋体"/>
      <w:kern w:val="0"/>
      <w:szCs w:val="24"/>
    </w:rPr>
  </w:style>
  <w:style w:type="paragraph" w:styleId="af7">
    <w:name w:val="Title"/>
    <w:basedOn w:val="a"/>
    <w:next w:val="a"/>
    <w:link w:val="af8"/>
    <w:uiPriority w:val="10"/>
    <w:qFormat/>
    <w:pPr>
      <w:wordWrap w:val="0"/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f9">
    <w:name w:val="annotation subject"/>
    <w:basedOn w:val="a5"/>
    <w:next w:val="a5"/>
    <w:link w:val="afa"/>
    <w:semiHidden/>
    <w:unhideWhenUsed/>
    <w:rPr>
      <w:b/>
      <w:bCs/>
    </w:rPr>
  </w:style>
  <w:style w:type="table" w:styleId="afb">
    <w:name w:val="Table Grid"/>
    <w:basedOn w:val="a1"/>
    <w:uiPriority w:val="39"/>
    <w:qFormat/>
    <w:pPr>
      <w:widowControl w:val="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Strong"/>
    <w:uiPriority w:val="22"/>
    <w:qFormat/>
    <w:rPr>
      <w:b/>
    </w:rPr>
  </w:style>
  <w:style w:type="character" w:styleId="afd">
    <w:name w:val="endnote reference"/>
    <w:basedOn w:val="a0"/>
    <w:uiPriority w:val="99"/>
    <w:unhideWhenUsed/>
    <w:qFormat/>
    <w:rPr>
      <w:vertAlign w:val="superscript"/>
    </w:rPr>
  </w:style>
  <w:style w:type="character" w:styleId="afe">
    <w:name w:val="page number"/>
    <w:qFormat/>
  </w:style>
  <w:style w:type="character" w:styleId="aff">
    <w:name w:val="FollowedHyperlink"/>
    <w:basedOn w:val="a0"/>
    <w:unhideWhenUsed/>
    <w:rPr>
      <w:color w:val="954F72" w:themeColor="followedHyperlink"/>
      <w:u w:val="single"/>
    </w:rPr>
  </w:style>
  <w:style w:type="character" w:styleId="aff0">
    <w:name w:val="Emphasis"/>
    <w:uiPriority w:val="20"/>
    <w:qFormat/>
    <w:rPr>
      <w:i/>
      <w:iCs/>
    </w:rPr>
  </w:style>
  <w:style w:type="character" w:styleId="aff1">
    <w:name w:val="Hyperlink"/>
    <w:uiPriority w:val="99"/>
    <w:unhideWhenUsed/>
    <w:qFormat/>
    <w:rPr>
      <w:color w:val="0563C1"/>
      <w:u w:val="single"/>
    </w:rPr>
  </w:style>
  <w:style w:type="character" w:styleId="aff2">
    <w:name w:val="annotation reference"/>
    <w:basedOn w:val="a0"/>
    <w:semiHidden/>
    <w:unhideWhenUsed/>
    <w:qFormat/>
    <w:rPr>
      <w:sz w:val="21"/>
      <w:szCs w:val="21"/>
    </w:rPr>
  </w:style>
  <w:style w:type="character" w:styleId="aff3">
    <w:name w:val="footnote reference"/>
    <w:uiPriority w:val="99"/>
    <w:qFormat/>
    <w:rPr>
      <w:vertAlign w:val="superscript"/>
    </w:rPr>
  </w:style>
  <w:style w:type="paragraph" w:customStyle="1" w:styleId="aff4">
    <w:name w:val="網文引用"/>
    <w:basedOn w:val="a"/>
    <w:link w:val="Char"/>
    <w:qFormat/>
    <w:pPr>
      <w:tabs>
        <w:tab w:val="left" w:pos="397"/>
      </w:tabs>
      <w:overflowPunct w:val="0"/>
      <w:topLinePunct/>
      <w:autoSpaceDE w:val="0"/>
      <w:autoSpaceDN w:val="0"/>
      <w:adjustRightInd w:val="0"/>
      <w:spacing w:beforeLines="150" w:before="150" w:afterLines="150" w:after="150" w:line="480" w:lineRule="auto"/>
      <w:ind w:left="420" w:firstLineChars="200" w:firstLine="200"/>
      <w:contextualSpacing/>
      <w:textAlignment w:val="baseline"/>
    </w:pPr>
    <w:rPr>
      <w:rFonts w:ascii="楷体" w:eastAsia="楷体" w:hAnsi="楷体"/>
      <w:spacing w:val="4"/>
      <w:kern w:val="0"/>
      <w:lang w:eastAsia="zh-TW"/>
    </w:rPr>
  </w:style>
  <w:style w:type="character" w:customStyle="1" w:styleId="Char0">
    <w:name w:val="脚注文本 Char"/>
    <w:qFormat/>
    <w:rPr>
      <w:rFonts w:ascii="宋体"/>
      <w:kern w:val="2"/>
      <w:sz w:val="18"/>
      <w:szCs w:val="18"/>
    </w:rPr>
  </w:style>
  <w:style w:type="character" w:customStyle="1" w:styleId="af1">
    <w:name w:val="页脚 字符"/>
    <w:link w:val="af0"/>
    <w:uiPriority w:val="99"/>
    <w:qFormat/>
    <w:rPr>
      <w:rFonts w:ascii="Times New Roman" w:eastAsia="PMingLiU" w:hAnsi="Times New Roman"/>
      <w:kern w:val="2"/>
      <w:lang w:eastAsia="zh-TW"/>
    </w:rPr>
  </w:style>
  <w:style w:type="paragraph" w:customStyle="1" w:styleId="aff5">
    <w:name w:val="網文正文頂格"/>
    <w:basedOn w:val="aff6"/>
    <w:qFormat/>
    <w:pPr>
      <w:ind w:firstLineChars="0" w:firstLine="0"/>
      <w:jc w:val="left"/>
    </w:pPr>
  </w:style>
  <w:style w:type="paragraph" w:customStyle="1" w:styleId="aff6">
    <w:name w:val="網文正文"/>
    <w:basedOn w:val="a"/>
    <w:link w:val="Char1"/>
    <w:qFormat/>
    <w:pPr>
      <w:spacing w:line="480" w:lineRule="auto"/>
      <w:ind w:firstLineChars="200" w:firstLine="200"/>
      <w:textAlignment w:val="center"/>
    </w:pPr>
    <w:rPr>
      <w:sz w:val="28"/>
    </w:rPr>
  </w:style>
  <w:style w:type="character" w:customStyle="1" w:styleId="14">
    <w:name w:val="脚注文本 字符1"/>
    <w:link w:val="af5"/>
    <w:semiHidden/>
    <w:qFormat/>
    <w:locked/>
    <w:rPr>
      <w:rFonts w:ascii="Times New Roman" w:eastAsia="PMingLiU" w:hAnsi="Times New Roman"/>
      <w:kern w:val="2"/>
      <w:lang w:eastAsia="zh-TW"/>
    </w:rPr>
  </w:style>
  <w:style w:type="paragraph" w:customStyle="1" w:styleId="aff7">
    <w:name w:val="網文標題"/>
    <w:basedOn w:val="a"/>
    <w:link w:val="Char2"/>
    <w:qFormat/>
    <w:pPr>
      <w:jc w:val="center"/>
    </w:pPr>
    <w:rPr>
      <w:rFonts w:ascii="黑体"/>
      <w:b/>
      <w:sz w:val="32"/>
      <w:szCs w:val="44"/>
    </w:rPr>
  </w:style>
  <w:style w:type="character" w:customStyle="1" w:styleId="Char2">
    <w:name w:val="網文標題 Char"/>
    <w:link w:val="aff7"/>
    <w:qFormat/>
    <w:rPr>
      <w:rFonts w:ascii="黑体"/>
      <w:b/>
      <w:kern w:val="2"/>
      <w:sz w:val="32"/>
      <w:szCs w:val="44"/>
    </w:rPr>
  </w:style>
  <w:style w:type="paragraph" w:customStyle="1" w:styleId="aff8">
    <w:name w:val="網文作者"/>
    <w:basedOn w:val="a"/>
    <w:link w:val="Char3"/>
    <w:qFormat/>
    <w:pPr>
      <w:jc w:val="center"/>
    </w:pPr>
    <w:rPr>
      <w:b/>
      <w:sz w:val="28"/>
      <w:lang w:eastAsia="zh-TW"/>
    </w:rPr>
  </w:style>
  <w:style w:type="character" w:customStyle="1" w:styleId="Char3">
    <w:name w:val="網文作者 Char"/>
    <w:link w:val="aff8"/>
    <w:qFormat/>
    <w:rPr>
      <w:rFonts w:ascii="宋体" w:hAnsi="宋体"/>
      <w:b/>
      <w:kern w:val="2"/>
      <w:sz w:val="28"/>
      <w:szCs w:val="22"/>
      <w:lang w:eastAsia="zh-TW"/>
    </w:rPr>
  </w:style>
  <w:style w:type="character" w:customStyle="1" w:styleId="Char1">
    <w:name w:val="網文正文 Char"/>
    <w:link w:val="aff6"/>
    <w:qFormat/>
    <w:rPr>
      <w:rFonts w:ascii="宋体" w:hAnsi="宋体"/>
      <w:kern w:val="2"/>
      <w:sz w:val="28"/>
      <w:szCs w:val="22"/>
    </w:rPr>
  </w:style>
  <w:style w:type="character" w:customStyle="1" w:styleId="Char">
    <w:name w:val="網文引用 Char"/>
    <w:link w:val="aff4"/>
    <w:qFormat/>
    <w:rPr>
      <w:rFonts w:ascii="楷体" w:eastAsia="楷体" w:hAnsi="楷体"/>
      <w:spacing w:val="4"/>
      <w:sz w:val="24"/>
      <w:szCs w:val="22"/>
      <w:lang w:eastAsia="zh-TW"/>
    </w:rPr>
  </w:style>
  <w:style w:type="character" w:customStyle="1" w:styleId="12">
    <w:name w:val="尾注文本 字符1"/>
    <w:link w:val="ad"/>
    <w:uiPriority w:val="99"/>
    <w:qFormat/>
    <w:rPr>
      <w:rFonts w:ascii="宋体" w:hAnsi="宋体"/>
      <w:kern w:val="2"/>
      <w:sz w:val="24"/>
      <w:szCs w:val="22"/>
    </w:rPr>
  </w:style>
  <w:style w:type="character" w:customStyle="1" w:styleId="af3">
    <w:name w:val="页眉 字符"/>
    <w:link w:val="af2"/>
    <w:uiPriority w:val="99"/>
    <w:qFormat/>
    <w:rPr>
      <w:rFonts w:ascii="宋体" w:hAnsi="宋体"/>
      <w:kern w:val="2"/>
      <w:sz w:val="18"/>
      <w:szCs w:val="18"/>
    </w:rPr>
  </w:style>
  <w:style w:type="character" w:customStyle="1" w:styleId="st1">
    <w:name w:val="st1"/>
    <w:qFormat/>
  </w:style>
  <w:style w:type="paragraph" w:customStyle="1" w:styleId="110">
    <w:name w:val="标题 1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21">
    <w:name w:val="标题 21"/>
    <w:basedOn w:val="a"/>
    <w:next w:val="a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customStyle="1" w:styleId="31">
    <w:name w:val="标题 31"/>
    <w:basedOn w:val="a"/>
    <w:next w:val="a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sz w:val="32"/>
      <w:szCs w:val="32"/>
    </w:rPr>
  </w:style>
  <w:style w:type="character" w:customStyle="1" w:styleId="10">
    <w:name w:val="标题 1 字符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link w:val="2"/>
    <w:qFormat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link w:val="3"/>
    <w:uiPriority w:val="9"/>
    <w:qFormat/>
    <w:rPr>
      <w:b/>
      <w:bCs/>
      <w:sz w:val="32"/>
      <w:szCs w:val="32"/>
    </w:rPr>
  </w:style>
  <w:style w:type="paragraph" w:customStyle="1" w:styleId="15">
    <w:name w:val="无间隔1"/>
    <w:next w:val="aff9"/>
    <w:uiPriority w:val="1"/>
    <w:qFormat/>
    <w:pPr>
      <w:widowControl w:val="0"/>
      <w:jc w:val="both"/>
    </w:pPr>
    <w:rPr>
      <w:kern w:val="2"/>
      <w:sz w:val="21"/>
      <w:szCs w:val="22"/>
    </w:rPr>
  </w:style>
  <w:style w:type="paragraph" w:styleId="aff9">
    <w:name w:val="No Spacing"/>
    <w:uiPriority w:val="1"/>
    <w:qFormat/>
    <w:pPr>
      <w:widowControl w:val="0"/>
      <w:jc w:val="both"/>
    </w:pPr>
    <w:rPr>
      <w:rFonts w:ascii="宋体" w:hAnsi="宋体"/>
      <w:kern w:val="2"/>
      <w:sz w:val="24"/>
      <w:szCs w:val="22"/>
    </w:rPr>
  </w:style>
  <w:style w:type="paragraph" w:customStyle="1" w:styleId="16">
    <w:name w:val="批注框文本1"/>
    <w:basedOn w:val="a"/>
    <w:next w:val="ae"/>
    <w:link w:val="Char4"/>
    <w:uiPriority w:val="99"/>
    <w:semiHidden/>
    <w:unhideWhenUsed/>
    <w:qFormat/>
    <w:rPr>
      <w:rFonts w:ascii="Calibri" w:hAnsi="Calibri"/>
      <w:kern w:val="0"/>
      <w:sz w:val="18"/>
      <w:szCs w:val="18"/>
    </w:rPr>
  </w:style>
  <w:style w:type="character" w:customStyle="1" w:styleId="Char4">
    <w:name w:val="批注框文本 Char"/>
    <w:link w:val="16"/>
    <w:uiPriority w:val="99"/>
    <w:semiHidden/>
    <w:qFormat/>
    <w:rPr>
      <w:sz w:val="18"/>
      <w:szCs w:val="18"/>
    </w:rPr>
  </w:style>
  <w:style w:type="paragraph" w:customStyle="1" w:styleId="17">
    <w:name w:val="列出段落1"/>
    <w:basedOn w:val="a"/>
    <w:next w:val="affa"/>
    <w:uiPriority w:val="34"/>
    <w:qFormat/>
    <w:pPr>
      <w:spacing w:after="120" w:line="276" w:lineRule="auto"/>
      <w:ind w:firstLineChars="200" w:firstLine="420"/>
    </w:pPr>
    <w:rPr>
      <w:rFonts w:ascii="Calibri" w:hAnsi="Calibri"/>
      <w:sz w:val="21"/>
    </w:rPr>
  </w:style>
  <w:style w:type="paragraph" w:styleId="affa">
    <w:name w:val="List Paragraph"/>
    <w:basedOn w:val="a"/>
    <w:uiPriority w:val="34"/>
    <w:qFormat/>
    <w:pPr>
      <w:ind w:firstLineChars="200" w:firstLine="420"/>
    </w:pPr>
  </w:style>
  <w:style w:type="character" w:customStyle="1" w:styleId="1Char1">
    <w:name w:val="标题 1 Char1"/>
    <w:uiPriority w:val="9"/>
    <w:qFormat/>
    <w:rPr>
      <w:rFonts w:ascii="宋体" w:hAnsi="宋体"/>
      <w:b/>
      <w:bCs/>
      <w:kern w:val="44"/>
      <w:sz w:val="44"/>
      <w:szCs w:val="44"/>
    </w:rPr>
  </w:style>
  <w:style w:type="character" w:customStyle="1" w:styleId="2Char1">
    <w:name w:val="标题 2 Char1"/>
    <w:uiPriority w:val="9"/>
    <w:semiHidden/>
    <w:qFormat/>
    <w:rPr>
      <w:rFonts w:ascii="Calibri Light" w:eastAsia="宋体" w:hAnsi="Calibri Light" w:cs="Times New Roman"/>
      <w:b/>
      <w:bCs/>
      <w:kern w:val="2"/>
      <w:sz w:val="32"/>
      <w:szCs w:val="32"/>
    </w:rPr>
  </w:style>
  <w:style w:type="character" w:customStyle="1" w:styleId="3Char1">
    <w:name w:val="标题 3 Char1"/>
    <w:uiPriority w:val="9"/>
    <w:semiHidden/>
    <w:qFormat/>
    <w:rPr>
      <w:rFonts w:ascii="宋体" w:hAnsi="宋体"/>
      <w:b/>
      <w:bCs/>
      <w:kern w:val="2"/>
      <w:sz w:val="32"/>
      <w:szCs w:val="32"/>
    </w:rPr>
  </w:style>
  <w:style w:type="character" w:customStyle="1" w:styleId="af">
    <w:name w:val="批注框文本 字符"/>
    <w:link w:val="ae"/>
    <w:uiPriority w:val="99"/>
    <w:qFormat/>
    <w:rPr>
      <w:rFonts w:ascii="宋体" w:hAnsi="宋体"/>
      <w:kern w:val="2"/>
      <w:sz w:val="18"/>
      <w:szCs w:val="18"/>
    </w:rPr>
  </w:style>
  <w:style w:type="character" w:customStyle="1" w:styleId="apple-converted-space">
    <w:name w:val="apple-converted-space"/>
    <w:qFormat/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sz w:val="24"/>
      <w:szCs w:val="24"/>
    </w:rPr>
  </w:style>
  <w:style w:type="paragraph" w:customStyle="1" w:styleId="Char10">
    <w:name w:val="Char1"/>
    <w:basedOn w:val="a"/>
    <w:qFormat/>
    <w:rPr>
      <w:rFonts w:ascii="Tahoma" w:hAnsi="Tahoma"/>
      <w:szCs w:val="20"/>
    </w:rPr>
  </w:style>
  <w:style w:type="character" w:customStyle="1" w:styleId="postbody1">
    <w:name w:val="postbody1"/>
    <w:qFormat/>
    <w:rPr>
      <w:sz w:val="11"/>
      <w:szCs w:val="11"/>
    </w:rPr>
  </w:style>
  <w:style w:type="character" w:customStyle="1" w:styleId="hot">
    <w:name w:val="hot"/>
    <w:basedOn w:val="a0"/>
    <w:qFormat/>
  </w:style>
  <w:style w:type="character" w:customStyle="1" w:styleId="note">
    <w:name w:val="note"/>
    <w:qFormat/>
    <w:rPr>
      <w:color w:val="800080"/>
      <w:sz w:val="20"/>
      <w:szCs w:val="20"/>
    </w:rPr>
  </w:style>
  <w:style w:type="character" w:customStyle="1" w:styleId="CharChar7">
    <w:name w:val="Char Char7"/>
    <w:semiHidden/>
    <w:qFormat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a8">
    <w:name w:val="正文文本 字符"/>
    <w:link w:val="a7"/>
    <w:qFormat/>
    <w:rPr>
      <w:lang w:val="en-US" w:eastAsia="zh-CN"/>
    </w:rPr>
  </w:style>
  <w:style w:type="character" w:customStyle="1" w:styleId="byline1">
    <w:name w:val="byline1"/>
    <w:qFormat/>
    <w:rPr>
      <w:color w:val="408080"/>
      <w:sz w:val="32"/>
      <w:szCs w:val="32"/>
    </w:rPr>
  </w:style>
  <w:style w:type="character" w:customStyle="1" w:styleId="Hyperlink0">
    <w:name w:val="Hyperlink.0"/>
    <w:qFormat/>
    <w:rPr>
      <w:rFonts w:ascii="DFKai-SB" w:eastAsia="DFKai-SB" w:hAnsi="DFKai-SB" w:cs="DFKai-SB"/>
      <w:sz w:val="22"/>
      <w:szCs w:val="22"/>
      <w:lang w:val="zh-TW" w:eastAsia="zh-TW"/>
    </w:rPr>
  </w:style>
  <w:style w:type="character" w:customStyle="1" w:styleId="affb">
    <w:name w:val="尾注文本 字符"/>
    <w:qFormat/>
    <w:rPr>
      <w:kern w:val="2"/>
      <w:sz w:val="21"/>
      <w:szCs w:val="24"/>
    </w:rPr>
  </w:style>
  <w:style w:type="character" w:customStyle="1" w:styleId="affc">
    <w:name w:val="脚注文本 字符"/>
    <w:uiPriority w:val="99"/>
    <w:qFormat/>
    <w:rPr>
      <w:sz w:val="20"/>
      <w:szCs w:val="20"/>
    </w:rPr>
  </w:style>
  <w:style w:type="paragraph" w:customStyle="1" w:styleId="affd">
    <w:name w:val="注文"/>
    <w:basedOn w:val="a"/>
    <w:qFormat/>
    <w:pPr>
      <w:ind w:leftChars="405" w:left="1155" w:hangingChars="10" w:hanging="21"/>
    </w:pPr>
    <w:rPr>
      <w:rFonts w:ascii="Calibri" w:hAnsi="Calibri"/>
      <w:color w:val="92D050"/>
      <w:sz w:val="21"/>
      <w:szCs w:val="21"/>
    </w:rPr>
  </w:style>
  <w:style w:type="paragraph" w:customStyle="1" w:styleId="affe">
    <w:name w:val="小標"/>
    <w:basedOn w:val="a"/>
    <w:qFormat/>
    <w:pPr>
      <w:ind w:leftChars="53" w:left="708" w:hangingChars="200" w:hanging="560"/>
    </w:pPr>
    <w:rPr>
      <w:rFonts w:ascii="Calibri" w:hAnsi="Calibri"/>
      <w:sz w:val="21"/>
      <w:szCs w:val="24"/>
    </w:rPr>
  </w:style>
  <w:style w:type="character" w:customStyle="1" w:styleId="ac">
    <w:name w:val="日期 字符"/>
    <w:link w:val="ab"/>
    <w:qFormat/>
    <w:rPr>
      <w:rFonts w:ascii="宋体" w:hAnsi="宋体"/>
      <w:kern w:val="2"/>
      <w:sz w:val="24"/>
      <w:szCs w:val="22"/>
    </w:rPr>
  </w:style>
  <w:style w:type="character" w:customStyle="1" w:styleId="Char5">
    <w:name w:val="尾注文本 Char"/>
    <w:qFormat/>
    <w:rPr>
      <w:kern w:val="2"/>
      <w:sz w:val="21"/>
      <w:szCs w:val="24"/>
    </w:rPr>
  </w:style>
  <w:style w:type="character" w:customStyle="1" w:styleId="fontstyle01">
    <w:name w:val="fontstyle01"/>
    <w:basedOn w:val="a0"/>
    <w:qFormat/>
    <w:rPr>
      <w:rFonts w:ascii="TimesNewRomanPS-BoldMT" w:hAnsi="TimesNewRomanPS-BoldMT" w:hint="default"/>
      <w:b/>
      <w:bCs/>
      <w:color w:val="000000"/>
      <w:sz w:val="36"/>
      <w:szCs w:val="36"/>
    </w:rPr>
  </w:style>
  <w:style w:type="character" w:customStyle="1" w:styleId="fontstyle11">
    <w:name w:val="fontstyle11"/>
    <w:basedOn w:val="a0"/>
    <w:qFormat/>
    <w:rPr>
      <w:rFonts w:ascii="宋体" w:eastAsia="宋体" w:hAnsi="宋体" w:hint="eastAsia"/>
      <w:color w:val="000000"/>
      <w:sz w:val="36"/>
      <w:szCs w:val="36"/>
    </w:rPr>
  </w:style>
  <w:style w:type="character" w:customStyle="1" w:styleId="fontstyle21">
    <w:name w:val="fontstyle21"/>
    <w:basedOn w:val="a0"/>
    <w:qFormat/>
    <w:rPr>
      <w:rFonts w:ascii="Batang" w:eastAsia="Batang" w:hint="eastAsia"/>
      <w:color w:val="000000"/>
      <w:sz w:val="24"/>
      <w:szCs w:val="24"/>
    </w:rPr>
  </w:style>
  <w:style w:type="character" w:customStyle="1" w:styleId="fontstyle31">
    <w:name w:val="fontstyle31"/>
    <w:basedOn w:val="a0"/>
    <w:qFormat/>
    <w:rPr>
      <w:rFonts w:ascii="New Gulim" w:hAnsi="New Gulim" w:hint="default"/>
      <w:color w:val="000000"/>
      <w:sz w:val="24"/>
      <w:szCs w:val="24"/>
    </w:rPr>
  </w:style>
  <w:style w:type="character" w:customStyle="1" w:styleId="afff">
    <w:name w:val="控呇湮佽恅苤蚼 红色"/>
    <w:basedOn w:val="a0"/>
    <w:qFormat/>
    <w:rPr>
      <w:rFonts w:ascii="控呇湮佽恅苤蚼" w:eastAsia="控呇湮佽恅苤蚼" w:hAnsi="控呇湮佽恅苤蚼"/>
      <w:color w:val="FF0000"/>
    </w:rPr>
  </w:style>
  <w:style w:type="paragraph" w:customStyle="1" w:styleId="Char11">
    <w:name w:val="Char11"/>
    <w:basedOn w:val="a"/>
    <w:qFormat/>
    <w:rPr>
      <w:rFonts w:ascii="Tahoma" w:hAnsi="Tahoma"/>
      <w:szCs w:val="20"/>
    </w:rPr>
  </w:style>
  <w:style w:type="character" w:customStyle="1" w:styleId="af8">
    <w:name w:val="标题 字符"/>
    <w:basedOn w:val="a0"/>
    <w:link w:val="af7"/>
    <w:uiPriority w:val="10"/>
    <w:qFormat/>
    <w:rPr>
      <w:rFonts w:asciiTheme="majorHAnsi" w:hAnsiTheme="majorHAnsi" w:cstheme="majorBidi"/>
      <w:b/>
      <w:bCs/>
      <w:kern w:val="2"/>
      <w:sz w:val="32"/>
      <w:szCs w:val="32"/>
    </w:rPr>
  </w:style>
  <w:style w:type="paragraph" w:customStyle="1" w:styleId="4">
    <w:name w:val="样式4"/>
    <w:basedOn w:val="a"/>
    <w:qFormat/>
    <w:pPr>
      <w:spacing w:line="360" w:lineRule="auto"/>
      <w:jc w:val="center"/>
    </w:pPr>
    <w:rPr>
      <w:rFonts w:asciiTheme="minorHAnsi" w:eastAsiaTheme="minorEastAsia" w:hAnsiTheme="minorHAnsi" w:cstheme="minorBidi"/>
      <w:szCs w:val="21"/>
      <w:lang w:eastAsia="zh-TW"/>
    </w:rPr>
  </w:style>
  <w:style w:type="character" w:customStyle="1" w:styleId="18">
    <w:name w:val="未处理的提及1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a6">
    <w:name w:val="批注文字 字符"/>
    <w:basedOn w:val="a0"/>
    <w:link w:val="a5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fa">
    <w:name w:val="批注主题 字符"/>
    <w:basedOn w:val="a6"/>
    <w:link w:val="af9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50">
    <w:name w:val="标题 5 字符"/>
    <w:basedOn w:val="a0"/>
    <w:uiPriority w:val="9"/>
    <w:semiHidden/>
    <w:qFormat/>
    <w:rPr>
      <w:rFonts w:ascii="宋体" w:hAnsi="宋体"/>
      <w:b/>
      <w:bCs/>
      <w:kern w:val="2"/>
      <w:sz w:val="28"/>
      <w:szCs w:val="28"/>
    </w:rPr>
  </w:style>
  <w:style w:type="character" w:customStyle="1" w:styleId="mw-headline">
    <w:name w:val="mw-headline"/>
    <w:basedOn w:val="a0"/>
    <w:qFormat/>
  </w:style>
  <w:style w:type="character" w:customStyle="1" w:styleId="51">
    <w:name w:val="标题 5 字符1"/>
    <w:link w:val="5"/>
    <w:uiPriority w:val="9"/>
    <w:qFormat/>
    <w:rPr>
      <w:rFonts w:ascii="宋体-方正超大字符集" w:eastAsia="宋体-方正超大字符集"/>
      <w:b/>
      <w:bCs/>
      <w:kern w:val="2"/>
      <w:sz w:val="24"/>
      <w:szCs w:val="28"/>
    </w:rPr>
  </w:style>
  <w:style w:type="character" w:customStyle="1" w:styleId="13">
    <w:name w:val="副标题 字符1"/>
    <w:link w:val="af4"/>
    <w:uiPriority w:val="11"/>
    <w:qFormat/>
    <w:rPr>
      <w:rFonts w:ascii="Cambria" w:hAnsi="Cambria"/>
      <w:b/>
      <w:bCs/>
      <w:kern w:val="28"/>
      <w:sz w:val="24"/>
      <w:szCs w:val="32"/>
    </w:rPr>
  </w:style>
  <w:style w:type="character" w:customStyle="1" w:styleId="afff0">
    <w:name w:val="副标题 字符"/>
    <w:basedOn w:val="a0"/>
    <w:uiPriority w:val="11"/>
    <w:qFormat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afff1">
    <w:name w:val="文档结构图 字符"/>
    <w:basedOn w:val="a0"/>
    <w:qFormat/>
    <w:rPr>
      <w:rFonts w:ascii="Microsoft YaHei UI" w:eastAsia="Microsoft YaHei UI" w:hAnsi="宋体"/>
      <w:kern w:val="2"/>
      <w:sz w:val="18"/>
      <w:szCs w:val="18"/>
    </w:rPr>
  </w:style>
  <w:style w:type="character" w:customStyle="1" w:styleId="11">
    <w:name w:val="文档结构图 字符1"/>
    <w:link w:val="a4"/>
    <w:uiPriority w:val="99"/>
    <w:semiHidden/>
    <w:qFormat/>
    <w:rPr>
      <w:rFonts w:ascii="宋体" w:hAnsi="Times New Roman"/>
      <w:kern w:val="2"/>
      <w:sz w:val="18"/>
      <w:szCs w:val="18"/>
    </w:rPr>
  </w:style>
  <w:style w:type="character" w:customStyle="1" w:styleId="1Char">
    <w:name w:val="标题 1 Char"/>
    <w:uiPriority w:val="9"/>
    <w:qFormat/>
    <w:rPr>
      <w:rFonts w:ascii="宋体-方正超大字符集" w:eastAsia="宋体-方正超大字符集"/>
      <w:b/>
      <w:bCs/>
      <w:kern w:val="44"/>
      <w:sz w:val="44"/>
      <w:szCs w:val="44"/>
    </w:rPr>
  </w:style>
  <w:style w:type="character" w:customStyle="1" w:styleId="Char6">
    <w:name w:val="页脚 Char"/>
    <w:uiPriority w:val="99"/>
    <w:qFormat/>
    <w:rPr>
      <w:rFonts w:ascii="宋体-方正超大字符集" w:eastAsia="宋体-方正超大字符集"/>
      <w:kern w:val="2"/>
      <w:sz w:val="18"/>
      <w:szCs w:val="22"/>
    </w:rPr>
  </w:style>
  <w:style w:type="character" w:customStyle="1" w:styleId="divimport1">
    <w:name w:val="divimport1"/>
    <w:qFormat/>
    <w:rPr>
      <w:rFonts w:ascii="ˎ̥" w:hAnsi="ˎ̥" w:hint="default"/>
      <w:sz w:val="21"/>
      <w:szCs w:val="21"/>
    </w:rPr>
  </w:style>
  <w:style w:type="paragraph" w:customStyle="1" w:styleId="afff2">
    <w:name w:val="引文"/>
    <w:basedOn w:val="a"/>
    <w:qFormat/>
    <w:pPr>
      <w:widowControl/>
      <w:ind w:leftChars="100" w:left="210" w:firstLineChars="200" w:firstLine="480"/>
      <w:jc w:val="left"/>
    </w:pPr>
    <w:rPr>
      <w:rFonts w:ascii="仿宋" w:eastAsia="仿宋" w:hAnsi="仿宋" w:cs="宋体"/>
      <w:kern w:val="0"/>
      <w:szCs w:val="24"/>
    </w:rPr>
  </w:style>
  <w:style w:type="paragraph" w:customStyle="1" w:styleId="afff3">
    <w:name w:val="注釋"/>
    <w:basedOn w:val="a"/>
    <w:qFormat/>
    <w:pPr>
      <w:wordWrap w:val="0"/>
      <w:spacing w:line="400" w:lineRule="exact"/>
      <w:ind w:firstLineChars="200" w:firstLine="200"/>
      <w:jc w:val="left"/>
      <w:textAlignment w:val="center"/>
    </w:pPr>
    <w:rPr>
      <w:rFonts w:ascii="Times New Roman" w:hAnsi="Times New Roman" w:cstheme="minorBidi"/>
      <w:sz w:val="18"/>
      <w:szCs w:val="21"/>
    </w:rPr>
  </w:style>
  <w:style w:type="character" w:customStyle="1" w:styleId="StrongEmphasis">
    <w:name w:val="Strong Emphasis"/>
    <w:qFormat/>
    <w:rPr>
      <w:b/>
      <w:bCs/>
    </w:rPr>
  </w:style>
  <w:style w:type="character" w:customStyle="1" w:styleId="EndnoteCharacters">
    <w:name w:val="Endnote Characters"/>
    <w:qFormat/>
  </w:style>
  <w:style w:type="character" w:customStyle="1" w:styleId="FootnoteCharacters">
    <w:name w:val="Footnote Characters"/>
    <w:qFormat/>
  </w:style>
  <w:style w:type="paragraph" w:customStyle="1" w:styleId="EndnoteSymbol">
    <w:name w:val="Endnote Symbol"/>
    <w:basedOn w:val="a"/>
    <w:qFormat/>
    <w:pPr>
      <w:widowControl/>
      <w:suppressLineNumbers/>
      <w:suppressAutoHyphens/>
      <w:overflowPunct w:val="0"/>
      <w:ind w:left="339" w:hanging="339"/>
      <w:jc w:val="left"/>
    </w:pPr>
    <w:rPr>
      <w:rFonts w:ascii="Liberation Serif;Times New Roma" w:eastAsia="新宋体" w:hAnsi="Liberation Serif;Times New Roma" w:cs="Mangal"/>
      <w:color w:val="00000A"/>
      <w:sz w:val="20"/>
      <w:szCs w:val="20"/>
      <w:lang w:bidi="hi-IN"/>
    </w:rPr>
  </w:style>
  <w:style w:type="character" w:customStyle="1" w:styleId="22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19">
    <w:name w:val="网格型1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4">
    <w:name w:val="Quote"/>
    <w:basedOn w:val="a"/>
    <w:next w:val="a"/>
    <w:link w:val="afff5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5">
    <w:name w:val="引用 字符"/>
    <w:basedOn w:val="a0"/>
    <w:link w:val="afff4"/>
    <w:uiPriority w:val="29"/>
    <w:qFormat/>
    <w:rPr>
      <w:rFonts w:ascii="宋体" w:hAnsi="宋体"/>
      <w:i/>
      <w:iCs/>
      <w:color w:val="404040" w:themeColor="text1" w:themeTint="BF"/>
      <w:kern w:val="2"/>
      <w:sz w:val="24"/>
      <w:szCs w:val="22"/>
    </w:rPr>
  </w:style>
  <w:style w:type="paragraph" w:customStyle="1" w:styleId="1a">
    <w:name w:val="标题1"/>
    <w:basedOn w:val="a"/>
    <w:link w:val="1Char0"/>
    <w:qFormat/>
    <w:pPr>
      <w:snapToGrid w:val="0"/>
      <w:spacing w:line="500" w:lineRule="atLeast"/>
      <w:ind w:firstLineChars="200" w:firstLine="200"/>
      <w:jc w:val="center"/>
    </w:pPr>
    <w:rPr>
      <w:rFonts w:ascii="方正书宋简体" w:eastAsia="方正书宋简体" w:hAnsi="Calibri"/>
      <w:sz w:val="36"/>
      <w:szCs w:val="36"/>
    </w:rPr>
  </w:style>
  <w:style w:type="character" w:customStyle="1" w:styleId="1Char0">
    <w:name w:val="标题1 Char"/>
    <w:link w:val="1a"/>
    <w:rPr>
      <w:rFonts w:ascii="方正书宋简体" w:eastAsia="方正书宋简体"/>
      <w:kern w:val="2"/>
      <w:sz w:val="36"/>
      <w:szCs w:val="36"/>
    </w:rPr>
  </w:style>
  <w:style w:type="paragraph" w:customStyle="1" w:styleId="afff6">
    <w:name w:val="作者行"/>
    <w:basedOn w:val="a"/>
    <w:link w:val="Char7"/>
    <w:qFormat/>
    <w:pPr>
      <w:snapToGrid w:val="0"/>
      <w:spacing w:line="520" w:lineRule="atLeast"/>
      <w:jc w:val="center"/>
    </w:pPr>
    <w:rPr>
      <w:rFonts w:ascii="方正仿宋简体" w:eastAsia="方正仿宋简体" w:hAnsi="Times New Roman"/>
      <w:sz w:val="28"/>
      <w:szCs w:val="28"/>
    </w:rPr>
  </w:style>
  <w:style w:type="paragraph" w:customStyle="1" w:styleId="1b">
    <w:name w:val="样式1副标题"/>
    <w:basedOn w:val="af4"/>
    <w:link w:val="1Char2"/>
    <w:qFormat/>
    <w:pPr>
      <w:snapToGrid w:val="0"/>
      <w:spacing w:beforeLines="0" w:before="0" w:afterLines="0" w:after="0" w:line="500" w:lineRule="atLeast"/>
      <w:textAlignment w:val="auto"/>
    </w:pPr>
    <w:rPr>
      <w:rFonts w:ascii="方正楷体简体" w:eastAsia="方正楷体简体"/>
      <w:b w:val="0"/>
      <w:w w:val="120"/>
      <w:kern w:val="2"/>
      <w:sz w:val="28"/>
    </w:rPr>
  </w:style>
  <w:style w:type="character" w:customStyle="1" w:styleId="Char7">
    <w:name w:val="作者行 Char"/>
    <w:link w:val="afff6"/>
    <w:qFormat/>
    <w:rPr>
      <w:rFonts w:ascii="方正仿宋简体" w:eastAsia="方正仿宋简体" w:hAnsi="Times New Roman"/>
      <w:kern w:val="2"/>
      <w:sz w:val="28"/>
      <w:szCs w:val="28"/>
    </w:rPr>
  </w:style>
  <w:style w:type="paragraph" w:customStyle="1" w:styleId="120">
    <w:name w:val="样式1标题2"/>
    <w:basedOn w:val="a"/>
    <w:link w:val="12Char"/>
    <w:qFormat/>
    <w:pPr>
      <w:snapToGrid w:val="0"/>
      <w:spacing w:beforeLines="100" w:afterLines="100" w:line="366" w:lineRule="atLeast"/>
      <w:ind w:firstLineChars="200" w:firstLine="200"/>
      <w:jc w:val="center"/>
    </w:pPr>
    <w:rPr>
      <w:rFonts w:ascii="方正楷体简体" w:eastAsia="方正楷体简体" w:hAnsi="Calibri"/>
      <w:w w:val="120"/>
      <w:sz w:val="28"/>
      <w:szCs w:val="28"/>
    </w:rPr>
  </w:style>
  <w:style w:type="character" w:customStyle="1" w:styleId="1Char2">
    <w:name w:val="样式1副标题 Char"/>
    <w:link w:val="1b"/>
    <w:qFormat/>
    <w:rPr>
      <w:rFonts w:ascii="方正楷体简体" w:eastAsia="方正楷体简体" w:hAnsi="Cambria"/>
      <w:bCs/>
      <w:w w:val="120"/>
      <w:kern w:val="2"/>
      <w:sz w:val="28"/>
      <w:szCs w:val="32"/>
    </w:rPr>
  </w:style>
  <w:style w:type="character" w:customStyle="1" w:styleId="12Char">
    <w:name w:val="样式1标题2 Char"/>
    <w:link w:val="120"/>
    <w:qFormat/>
    <w:rPr>
      <w:rFonts w:ascii="方正楷体简体" w:eastAsia="方正楷体简体"/>
      <w:w w:val="120"/>
      <w:kern w:val="2"/>
      <w:sz w:val="28"/>
      <w:szCs w:val="28"/>
    </w:rPr>
  </w:style>
  <w:style w:type="paragraph" w:customStyle="1" w:styleId="23">
    <w:name w:val="样式2标题3"/>
    <w:basedOn w:val="a"/>
    <w:link w:val="23Char"/>
    <w:qFormat/>
    <w:pPr>
      <w:snapToGrid w:val="0"/>
      <w:spacing w:beforeLines="50" w:afterLines="50" w:line="366" w:lineRule="atLeast"/>
      <w:ind w:firstLineChars="200" w:firstLine="459"/>
    </w:pPr>
    <w:rPr>
      <w:rFonts w:ascii="方正黑体简体" w:eastAsia="方正黑体简体" w:hAnsi="Calibri"/>
      <w:w w:val="110"/>
      <w:sz w:val="21"/>
      <w:szCs w:val="21"/>
    </w:rPr>
  </w:style>
  <w:style w:type="character" w:customStyle="1" w:styleId="23Char">
    <w:name w:val="样式2标题3 Char"/>
    <w:link w:val="23"/>
    <w:qFormat/>
    <w:rPr>
      <w:rFonts w:ascii="方正黑体简体" w:eastAsia="方正黑体简体"/>
      <w:w w:val="110"/>
      <w:kern w:val="2"/>
      <w:sz w:val="21"/>
      <w:szCs w:val="21"/>
    </w:rPr>
  </w:style>
  <w:style w:type="paragraph" w:customStyle="1" w:styleId="24">
    <w:name w:val="副标题，标题2"/>
    <w:basedOn w:val="1b"/>
    <w:next w:val="a7"/>
    <w:link w:val="2Char"/>
    <w:qFormat/>
  </w:style>
  <w:style w:type="paragraph" w:customStyle="1" w:styleId="140">
    <w:name w:val="样式1标题4"/>
    <w:basedOn w:val="a"/>
    <w:link w:val="14Char"/>
    <w:qFormat/>
    <w:pPr>
      <w:snapToGrid w:val="0"/>
      <w:spacing w:line="366" w:lineRule="atLeast"/>
      <w:ind w:firstLineChars="200" w:firstLine="420"/>
    </w:pPr>
    <w:rPr>
      <w:rFonts w:ascii="方正黑体简体" w:eastAsia="方正黑体简体" w:hAnsi="Times New Roman"/>
      <w:sz w:val="21"/>
      <w:szCs w:val="24"/>
    </w:rPr>
  </w:style>
  <w:style w:type="character" w:customStyle="1" w:styleId="2Char">
    <w:name w:val="副标题，标题2 Char"/>
    <w:link w:val="24"/>
    <w:qFormat/>
    <w:rPr>
      <w:rFonts w:ascii="方正楷体简体" w:eastAsia="方正楷体简体" w:hAnsi="Cambria"/>
      <w:bCs/>
      <w:w w:val="120"/>
      <w:kern w:val="2"/>
      <w:sz w:val="28"/>
      <w:szCs w:val="32"/>
    </w:rPr>
  </w:style>
  <w:style w:type="character" w:customStyle="1" w:styleId="14Char">
    <w:name w:val="样式1标题4 Char"/>
    <w:link w:val="140"/>
    <w:qFormat/>
    <w:rPr>
      <w:rFonts w:ascii="方正黑体简体" w:eastAsia="方正黑体简体" w:hAnsi="Times New Roman"/>
      <w:kern w:val="2"/>
      <w:sz w:val="21"/>
      <w:szCs w:val="24"/>
    </w:rPr>
  </w:style>
  <w:style w:type="paragraph" w:customStyle="1" w:styleId="afff7">
    <w:name w:val="标题４"/>
    <w:basedOn w:val="140"/>
    <w:next w:val="a7"/>
    <w:link w:val="Char8"/>
    <w:qFormat/>
    <w:pPr>
      <w:ind w:firstLine="400"/>
    </w:pPr>
  </w:style>
  <w:style w:type="character" w:customStyle="1" w:styleId="Char8">
    <w:name w:val="标题４ Char"/>
    <w:link w:val="afff7"/>
    <w:qFormat/>
    <w:rPr>
      <w:rFonts w:ascii="方正黑体简体" w:eastAsia="方正黑体简体" w:hAnsi="Times New Roman"/>
      <w:kern w:val="2"/>
      <w:sz w:val="21"/>
      <w:szCs w:val="24"/>
    </w:rPr>
  </w:style>
  <w:style w:type="character" w:customStyle="1" w:styleId="aa">
    <w:name w:val="正文文本缩进 字符"/>
    <w:basedOn w:val="a0"/>
    <w:link w:val="a9"/>
    <w:qFormat/>
    <w:rPr>
      <w:rFonts w:ascii="Times New Roman" w:eastAsia="方正书宋简体" w:hAnsi="Times New Roman"/>
      <w:kern w:val="2"/>
      <w:szCs w:val="24"/>
    </w:rPr>
  </w:style>
  <w:style w:type="paragraph" w:customStyle="1" w:styleId="afff8">
    <w:name w:val="论丛标题"/>
    <w:basedOn w:val="1"/>
    <w:link w:val="Char9"/>
    <w:qFormat/>
    <w:pPr>
      <w:adjustRightInd w:val="0"/>
      <w:snapToGrid w:val="0"/>
      <w:spacing w:before="0" w:after="0" w:line="240" w:lineRule="auto"/>
      <w:jc w:val="center"/>
    </w:pPr>
    <w:rPr>
      <w:rFonts w:ascii="方正书宋简体" w:eastAsia="方正书宋简体" w:hAnsi="Times New Roman"/>
      <w:b w:val="0"/>
      <w:snapToGrid w:val="0"/>
      <w:sz w:val="36"/>
    </w:rPr>
  </w:style>
  <w:style w:type="paragraph" w:customStyle="1" w:styleId="afff9">
    <w:name w:val="论丛副题"/>
    <w:basedOn w:val="24"/>
    <w:link w:val="Chara"/>
    <w:qFormat/>
    <w:pPr>
      <w:adjustRightInd w:val="0"/>
      <w:spacing w:line="240" w:lineRule="auto"/>
      <w:outlineLvl w:val="0"/>
    </w:pPr>
    <w:rPr>
      <w:snapToGrid w:val="0"/>
    </w:rPr>
  </w:style>
  <w:style w:type="character" w:customStyle="1" w:styleId="Char9">
    <w:name w:val="论丛标题 Char"/>
    <w:basedOn w:val="10"/>
    <w:link w:val="afff8"/>
    <w:qFormat/>
    <w:rPr>
      <w:rFonts w:ascii="方正书宋简体" w:eastAsia="方正书宋简体" w:hAnsi="Times New Roman"/>
      <w:b w:val="0"/>
      <w:bCs/>
      <w:snapToGrid w:val="0"/>
      <w:kern w:val="44"/>
      <w:sz w:val="36"/>
      <w:szCs w:val="44"/>
    </w:rPr>
  </w:style>
  <w:style w:type="paragraph" w:customStyle="1" w:styleId="afffa">
    <w:name w:val="论丛作者"/>
    <w:basedOn w:val="afff6"/>
    <w:link w:val="Charb"/>
    <w:qFormat/>
    <w:pPr>
      <w:adjustRightInd w:val="0"/>
      <w:spacing w:line="240" w:lineRule="auto"/>
      <w:outlineLvl w:val="0"/>
    </w:pPr>
  </w:style>
  <w:style w:type="character" w:customStyle="1" w:styleId="Chara">
    <w:name w:val="论丛副题 Char"/>
    <w:basedOn w:val="2Char"/>
    <w:link w:val="afff9"/>
    <w:qFormat/>
    <w:rPr>
      <w:rFonts w:ascii="方正楷体简体" w:eastAsia="方正楷体简体" w:hAnsi="Cambria"/>
      <w:bCs/>
      <w:snapToGrid w:val="0"/>
      <w:w w:val="120"/>
      <w:kern w:val="2"/>
      <w:sz w:val="28"/>
      <w:szCs w:val="32"/>
    </w:rPr>
  </w:style>
  <w:style w:type="paragraph" w:customStyle="1" w:styleId="afffb">
    <w:name w:val="论丛题注"/>
    <w:basedOn w:val="af5"/>
    <w:link w:val="Charc"/>
    <w:qFormat/>
    <w:pPr>
      <w:adjustRightInd w:val="0"/>
      <w:ind w:firstLineChars="200" w:firstLine="200"/>
      <w:jc w:val="both"/>
    </w:pPr>
    <w:rPr>
      <w:rFonts w:eastAsia="方正书宋简体"/>
      <w:snapToGrid w:val="0"/>
      <w:w w:val="110"/>
      <w:kern w:val="0"/>
      <w:sz w:val="15"/>
      <w:szCs w:val="15"/>
      <w:lang w:eastAsia="zh-CN"/>
    </w:rPr>
  </w:style>
  <w:style w:type="character" w:customStyle="1" w:styleId="Charb">
    <w:name w:val="论丛作者 Char"/>
    <w:basedOn w:val="Char7"/>
    <w:link w:val="afffa"/>
    <w:qFormat/>
    <w:rPr>
      <w:rFonts w:ascii="方正仿宋简体" w:eastAsia="方正仿宋简体" w:hAnsi="Times New Roman"/>
      <w:kern w:val="2"/>
      <w:sz w:val="28"/>
      <w:szCs w:val="28"/>
    </w:rPr>
  </w:style>
  <w:style w:type="paragraph" w:customStyle="1" w:styleId="afffc">
    <w:name w:val="论丛提要"/>
    <w:basedOn w:val="a"/>
    <w:link w:val="Chard"/>
    <w:qFormat/>
    <w:pPr>
      <w:adjustRightInd w:val="0"/>
      <w:snapToGrid w:val="0"/>
      <w:ind w:leftChars="200" w:left="422"/>
    </w:pPr>
    <w:rPr>
      <w:rFonts w:ascii="方正书宋简体" w:eastAsia="方正书宋简体" w:hAnsi="Times New Roman"/>
      <w:snapToGrid w:val="0"/>
      <w:kern w:val="0"/>
      <w:sz w:val="18"/>
      <w:szCs w:val="18"/>
    </w:rPr>
  </w:style>
  <w:style w:type="character" w:customStyle="1" w:styleId="Charc">
    <w:name w:val="论丛题注 Char"/>
    <w:basedOn w:val="affc"/>
    <w:link w:val="afffb"/>
    <w:qFormat/>
    <w:rPr>
      <w:rFonts w:ascii="Times New Roman" w:eastAsia="方正书宋简体" w:hAnsi="Times New Roman"/>
      <w:snapToGrid w:val="0"/>
      <w:w w:val="110"/>
      <w:sz w:val="15"/>
      <w:szCs w:val="15"/>
    </w:rPr>
  </w:style>
  <w:style w:type="paragraph" w:customStyle="1" w:styleId="1c">
    <w:name w:val="论丛题1"/>
    <w:basedOn w:val="2"/>
    <w:link w:val="1Char3"/>
    <w:qFormat/>
    <w:pPr>
      <w:adjustRightInd w:val="0"/>
      <w:snapToGrid w:val="0"/>
      <w:spacing w:beforeLines="100" w:before="377" w:afterLines="100" w:after="377" w:line="366" w:lineRule="exact"/>
      <w:jc w:val="center"/>
    </w:pPr>
    <w:rPr>
      <w:rFonts w:ascii="方正楷体简体" w:eastAsia="方正楷体简体" w:hAnsi="Arial"/>
      <w:b w:val="0"/>
      <w:w w:val="120"/>
      <w:kern w:val="2"/>
      <w:sz w:val="28"/>
    </w:rPr>
  </w:style>
  <w:style w:type="character" w:customStyle="1" w:styleId="Chard">
    <w:name w:val="论丛提要 Char"/>
    <w:basedOn w:val="a0"/>
    <w:link w:val="afffc"/>
    <w:qFormat/>
    <w:rPr>
      <w:rFonts w:ascii="方正书宋简体" w:eastAsia="方正书宋简体" w:hAnsi="Times New Roman"/>
      <w:snapToGrid w:val="0"/>
      <w:sz w:val="18"/>
      <w:szCs w:val="18"/>
    </w:rPr>
  </w:style>
  <w:style w:type="paragraph" w:customStyle="1" w:styleId="afffd">
    <w:name w:val="论丛正文"/>
    <w:basedOn w:val="a"/>
    <w:link w:val="Chare"/>
    <w:qFormat/>
    <w:pPr>
      <w:spacing w:line="366" w:lineRule="exact"/>
      <w:ind w:firstLineChars="200" w:firstLine="422"/>
    </w:pPr>
    <w:rPr>
      <w:rFonts w:ascii="方正书宋简体" w:eastAsia="方正书宋简体" w:hAnsi="Times New Roman"/>
      <w:sz w:val="20"/>
      <w:szCs w:val="20"/>
    </w:rPr>
  </w:style>
  <w:style w:type="character" w:customStyle="1" w:styleId="1Char3">
    <w:name w:val="论丛题1 Char"/>
    <w:basedOn w:val="20"/>
    <w:link w:val="1c"/>
    <w:qFormat/>
    <w:rPr>
      <w:rFonts w:ascii="方正楷体简体" w:eastAsia="方正楷体简体" w:hAnsi="Arial" w:cs="Times New Roman"/>
      <w:b w:val="0"/>
      <w:bCs/>
      <w:w w:val="120"/>
      <w:kern w:val="2"/>
      <w:sz w:val="28"/>
      <w:szCs w:val="32"/>
    </w:rPr>
  </w:style>
  <w:style w:type="paragraph" w:customStyle="1" w:styleId="25">
    <w:name w:val="论丛题2"/>
    <w:basedOn w:val="3"/>
    <w:link w:val="2Char0"/>
    <w:qFormat/>
    <w:pPr>
      <w:adjustRightInd w:val="0"/>
      <w:snapToGrid w:val="0"/>
      <w:spacing w:beforeLines="50" w:before="188" w:afterLines="50" w:after="188" w:line="366" w:lineRule="exact"/>
      <w:ind w:left="925" w:hanging="505"/>
    </w:pPr>
    <w:rPr>
      <w:rFonts w:ascii="方正黑体简体" w:eastAsia="方正黑体简体" w:hAnsi="Times New Roman"/>
      <w:b w:val="0"/>
      <w:snapToGrid w:val="0"/>
      <w:w w:val="110"/>
      <w:sz w:val="21"/>
    </w:rPr>
  </w:style>
  <w:style w:type="character" w:customStyle="1" w:styleId="Chare">
    <w:name w:val="论丛正文 Char"/>
    <w:basedOn w:val="a0"/>
    <w:link w:val="afffd"/>
    <w:qFormat/>
    <w:rPr>
      <w:rFonts w:ascii="方正书宋简体" w:eastAsia="方正书宋简体" w:hAnsi="Times New Roman"/>
      <w:kern w:val="2"/>
    </w:rPr>
  </w:style>
  <w:style w:type="paragraph" w:customStyle="1" w:styleId="32">
    <w:name w:val="论丛题3"/>
    <w:basedOn w:val="afff7"/>
    <w:link w:val="3Char"/>
    <w:qFormat/>
    <w:pPr>
      <w:adjustRightInd w:val="0"/>
      <w:spacing w:line="366" w:lineRule="exact"/>
      <w:ind w:firstLine="442"/>
      <w:outlineLvl w:val="3"/>
    </w:pPr>
    <w:rPr>
      <w:snapToGrid w:val="0"/>
    </w:rPr>
  </w:style>
  <w:style w:type="character" w:customStyle="1" w:styleId="2Char0">
    <w:name w:val="论丛题2 Char"/>
    <w:basedOn w:val="30"/>
    <w:link w:val="25"/>
    <w:qFormat/>
    <w:rPr>
      <w:rFonts w:ascii="方正黑体简体" w:eastAsia="方正黑体简体" w:hAnsi="Times New Roman"/>
      <w:b w:val="0"/>
      <w:bCs/>
      <w:snapToGrid w:val="0"/>
      <w:w w:val="110"/>
      <w:sz w:val="21"/>
      <w:szCs w:val="32"/>
    </w:rPr>
  </w:style>
  <w:style w:type="paragraph" w:customStyle="1" w:styleId="afffe">
    <w:name w:val="论丛引例"/>
    <w:basedOn w:val="a"/>
    <w:link w:val="Charf"/>
    <w:qFormat/>
    <w:pPr>
      <w:snapToGrid w:val="0"/>
      <w:spacing w:line="366" w:lineRule="exact"/>
      <w:ind w:leftChars="100" w:left="211" w:firstLineChars="200" w:firstLine="422"/>
    </w:pPr>
    <w:rPr>
      <w:rFonts w:ascii="方正仿宋简体" w:eastAsia="方正仿宋简体" w:hAnsi="Times New Roman"/>
      <w:sz w:val="20"/>
      <w:szCs w:val="20"/>
    </w:rPr>
  </w:style>
  <w:style w:type="character" w:customStyle="1" w:styleId="3Char">
    <w:name w:val="论丛题3 Char"/>
    <w:basedOn w:val="Char8"/>
    <w:link w:val="32"/>
    <w:qFormat/>
    <w:rPr>
      <w:rFonts w:ascii="方正黑体简体" w:eastAsia="方正黑体简体" w:hAnsi="Times New Roman"/>
      <w:snapToGrid w:val="0"/>
      <w:kern w:val="2"/>
      <w:sz w:val="21"/>
      <w:szCs w:val="24"/>
    </w:rPr>
  </w:style>
  <w:style w:type="paragraph" w:customStyle="1" w:styleId="affff">
    <w:name w:val="论丛表题"/>
    <w:basedOn w:val="a"/>
    <w:link w:val="Charf0"/>
    <w:qFormat/>
    <w:pPr>
      <w:snapToGrid w:val="0"/>
      <w:spacing w:line="366" w:lineRule="exact"/>
      <w:jc w:val="left"/>
    </w:pPr>
    <w:rPr>
      <w:rFonts w:ascii="方正准圆简体" w:eastAsia="方正准圆简体" w:hAnsi="Times New Roman"/>
      <w:w w:val="110"/>
      <w:sz w:val="18"/>
      <w:szCs w:val="18"/>
    </w:rPr>
  </w:style>
  <w:style w:type="character" w:customStyle="1" w:styleId="Charf">
    <w:name w:val="论丛引例 Char"/>
    <w:basedOn w:val="a0"/>
    <w:link w:val="afffe"/>
    <w:qFormat/>
    <w:rPr>
      <w:rFonts w:ascii="方正仿宋简体" w:eastAsia="方正仿宋简体" w:hAnsi="Times New Roman"/>
      <w:kern w:val="2"/>
    </w:rPr>
  </w:style>
  <w:style w:type="paragraph" w:customStyle="1" w:styleId="affff0">
    <w:name w:val="论丛附参题"/>
    <w:basedOn w:val="ad"/>
    <w:link w:val="Charf1"/>
    <w:qFormat/>
    <w:pPr>
      <w:spacing w:beforeLines="50" w:afterLines="50" w:line="300" w:lineRule="atLeast"/>
    </w:pPr>
    <w:rPr>
      <w:rFonts w:ascii="方正黑体简体" w:eastAsia="方正黑体简体" w:hAnsi="Times New Roman"/>
      <w:snapToGrid w:val="0"/>
      <w:sz w:val="18"/>
      <w:szCs w:val="18"/>
    </w:rPr>
  </w:style>
  <w:style w:type="character" w:customStyle="1" w:styleId="Charf0">
    <w:name w:val="论丛表题 Char"/>
    <w:basedOn w:val="a0"/>
    <w:link w:val="affff"/>
    <w:qFormat/>
    <w:rPr>
      <w:rFonts w:ascii="方正准圆简体" w:eastAsia="方正准圆简体" w:hAnsi="Times New Roman"/>
      <w:w w:val="110"/>
      <w:kern w:val="2"/>
      <w:sz w:val="18"/>
      <w:szCs w:val="18"/>
    </w:rPr>
  </w:style>
  <w:style w:type="paragraph" w:customStyle="1" w:styleId="affff1">
    <w:name w:val="论丛附参文"/>
    <w:basedOn w:val="afffd"/>
    <w:link w:val="Charf2"/>
    <w:qFormat/>
    <w:pPr>
      <w:spacing w:line="300" w:lineRule="exact"/>
      <w:ind w:firstLine="382"/>
    </w:pPr>
    <w:rPr>
      <w:sz w:val="18"/>
      <w:szCs w:val="18"/>
    </w:rPr>
  </w:style>
  <w:style w:type="character" w:customStyle="1" w:styleId="Charf1">
    <w:name w:val="论丛附参题 Char"/>
    <w:basedOn w:val="affb"/>
    <w:link w:val="affff0"/>
    <w:qFormat/>
    <w:rPr>
      <w:rFonts w:ascii="方正黑体简体" w:eastAsia="方正黑体简体" w:hAnsi="Times New Roman"/>
      <w:snapToGrid w:val="0"/>
      <w:kern w:val="2"/>
      <w:sz w:val="18"/>
      <w:szCs w:val="18"/>
    </w:rPr>
  </w:style>
  <w:style w:type="paragraph" w:customStyle="1" w:styleId="affff2">
    <w:name w:val="论丛英摘"/>
    <w:basedOn w:val="a"/>
    <w:link w:val="Charf3"/>
    <w:qFormat/>
    <w:pPr>
      <w:snapToGrid w:val="0"/>
      <w:spacing w:line="366" w:lineRule="exact"/>
    </w:pPr>
    <w:rPr>
      <w:rFonts w:ascii="方正书宋简体" w:eastAsia="方正书宋简体" w:hAnsi="Times New Roman"/>
      <w:sz w:val="21"/>
      <w:szCs w:val="21"/>
    </w:rPr>
  </w:style>
  <w:style w:type="character" w:customStyle="1" w:styleId="Charf2">
    <w:name w:val="论丛附参文 Char"/>
    <w:basedOn w:val="Chare"/>
    <w:link w:val="affff1"/>
    <w:qFormat/>
    <w:rPr>
      <w:rFonts w:ascii="方正书宋简体" w:eastAsia="方正书宋简体" w:hAnsi="Times New Roman"/>
      <w:kern w:val="2"/>
      <w:sz w:val="18"/>
      <w:szCs w:val="18"/>
    </w:rPr>
  </w:style>
  <w:style w:type="character" w:customStyle="1" w:styleId="Charf3">
    <w:name w:val="论丛英摘 Char"/>
    <w:basedOn w:val="a0"/>
    <w:link w:val="affff2"/>
    <w:qFormat/>
    <w:rPr>
      <w:rFonts w:ascii="方正书宋简体" w:eastAsia="方正书宋简体" w:hAnsi="Times New Roman"/>
      <w:kern w:val="2"/>
      <w:sz w:val="21"/>
      <w:szCs w:val="21"/>
    </w:rPr>
  </w:style>
  <w:style w:type="paragraph" w:customStyle="1" w:styleId="1d">
    <w:name w:val="修订1"/>
    <w:hidden/>
    <w:uiPriority w:val="99"/>
    <w:semiHidden/>
    <w:qFormat/>
    <w:rPr>
      <w:rFonts w:ascii="Times New Roman" w:eastAsia="方正书宋简体" w:hAnsi="Times New Roman"/>
      <w:kern w:val="2"/>
      <w:szCs w:val="24"/>
    </w:rPr>
  </w:style>
  <w:style w:type="table" w:customStyle="1" w:styleId="26">
    <w:name w:val="网格型2"/>
    <w:basedOn w:val="a1"/>
    <w:uiPriority w:val="39"/>
    <w:qFormat/>
    <w:rPr>
      <w:rFonts w:ascii="PMingLiU" w:eastAsia="PMingLiU" w:hAnsi="宋体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yfontcontent">
    <w:name w:val="ny_font_content"/>
    <w:basedOn w:val="a0"/>
    <w:qFormat/>
  </w:style>
  <w:style w:type="table" w:customStyle="1" w:styleId="33">
    <w:name w:val="网格型3"/>
    <w:basedOn w:val="a1"/>
    <w:uiPriority w:val="39"/>
    <w:qFormat/>
    <w:rPr>
      <w:rFonts w:ascii="宋体" w:hAnsi="宋体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网格型4"/>
    <w:basedOn w:val="a1"/>
    <w:uiPriority w:val="39"/>
    <w:qFormat/>
    <w:rPr>
      <w:rFonts w:ascii="Times New Roman" w:hAnsi="Times New Roman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3">
    <w:name w:val="Unresolved Mention"/>
    <w:basedOn w:val="a0"/>
    <w:uiPriority w:val="99"/>
    <w:semiHidden/>
    <w:unhideWhenUsed/>
    <w:rsid w:val="00B742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95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6.png"/><Relationship Id="rId18" Type="http://schemas.openxmlformats.org/officeDocument/2006/relationships/image" Target="media/image23.png"/><Relationship Id="rId26" Type="http://schemas.openxmlformats.org/officeDocument/2006/relationships/image" Target="media/image32.png"/><Relationship Id="rId39" Type="http://schemas.openxmlformats.org/officeDocument/2006/relationships/header" Target="header3.xml"/><Relationship Id="rId21" Type="http://schemas.openxmlformats.org/officeDocument/2006/relationships/image" Target="media/image26.png"/><Relationship Id="rId34" Type="http://schemas.openxmlformats.org/officeDocument/2006/relationships/image" Target="media/image40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1.png"/><Relationship Id="rId20" Type="http://schemas.openxmlformats.org/officeDocument/2006/relationships/image" Target="media/image25.png"/><Relationship Id="rId29" Type="http://schemas.openxmlformats.org/officeDocument/2006/relationships/image" Target="media/image35.sv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2.png"/><Relationship Id="rId24" Type="http://schemas.openxmlformats.org/officeDocument/2006/relationships/image" Target="media/image30.png"/><Relationship Id="rId32" Type="http://schemas.openxmlformats.org/officeDocument/2006/relationships/image" Target="media/image38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20.png"/><Relationship Id="rId23" Type="http://schemas.openxmlformats.org/officeDocument/2006/relationships/image" Target="media/image29.png"/><Relationship Id="rId28" Type="http://schemas.openxmlformats.org/officeDocument/2006/relationships/image" Target="media/image34.png"/><Relationship Id="rId36" Type="http://schemas.openxmlformats.org/officeDocument/2006/relationships/header" Target="header2.xml"/><Relationship Id="rId10" Type="http://schemas.openxmlformats.org/officeDocument/2006/relationships/image" Target="media/image11.png"/><Relationship Id="rId19" Type="http://schemas.openxmlformats.org/officeDocument/2006/relationships/image" Target="media/image24.png"/><Relationship Id="rId31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17.png"/><Relationship Id="rId22" Type="http://schemas.openxmlformats.org/officeDocument/2006/relationships/image" Target="media/image27.png"/><Relationship Id="rId27" Type="http://schemas.openxmlformats.org/officeDocument/2006/relationships/image" Target="media/image33.png"/><Relationship Id="rId30" Type="http://schemas.openxmlformats.org/officeDocument/2006/relationships/image" Target="media/image36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15.png"/><Relationship Id="rId17" Type="http://schemas.openxmlformats.org/officeDocument/2006/relationships/image" Target="media/image22.png"/><Relationship Id="rId25" Type="http://schemas.openxmlformats.org/officeDocument/2006/relationships/image" Target="media/image31.png"/><Relationship Id="rId33" Type="http://schemas.openxmlformats.org/officeDocument/2006/relationships/image" Target="media/image39.png"/><Relationship Id="rId38" Type="http://schemas.openxmlformats.org/officeDocument/2006/relationships/footer" Target="footer2.xml"/></Relationships>
</file>

<file path=word/_rels/endnotes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9.png"/><Relationship Id="rId3" Type="http://schemas.openxmlformats.org/officeDocument/2006/relationships/image" Target="media/image2.png"/><Relationship Id="rId7" Type="http://schemas.openxmlformats.org/officeDocument/2006/relationships/image" Target="media/image8.png"/><Relationship Id="rId12" Type="http://schemas.openxmlformats.org/officeDocument/2006/relationships/image" Target="media/image18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11" Type="http://schemas.openxmlformats.org/officeDocument/2006/relationships/image" Target="media/image14.png"/><Relationship Id="rId5" Type="http://schemas.openxmlformats.org/officeDocument/2006/relationships/image" Target="media/image6.png"/><Relationship Id="rId15" Type="http://schemas.openxmlformats.org/officeDocument/2006/relationships/image" Target="media/image28.png"/><Relationship Id="rId10" Type="http://schemas.openxmlformats.org/officeDocument/2006/relationships/image" Target="media/image13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679E9-4BFE-4A34-8DB5-886D5A06F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17</Pages>
  <Words>932</Words>
  <Characters>5319</Characters>
  <Application>Microsoft Office Word</Application>
  <DocSecurity>0</DocSecurity>
  <Lines>44</Lines>
  <Paragraphs>12</Paragraphs>
  <ScaleCrop>false</ScaleCrop>
  <Company>GWZ</Company>
  <LinksUpToDate>false</LinksUpToDate>
  <CharactersWithSpaces>6239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復旦大學出土文獻與古文字研究中心</dc:title>
  <dc:subject>復旦大學出土文獻與古文字研究中心</dc:subject>
  <dc:creator>gwz</dc:creator>
  <cp:keywords/>
  <dc:description/>
  <cp:lastModifiedBy>YR M</cp:lastModifiedBy>
  <cp:revision>22</cp:revision>
  <dcterms:created xsi:type="dcterms:W3CDTF">2022-12-28T06:33:00Z</dcterms:created>
  <dcterms:modified xsi:type="dcterms:W3CDTF">2025-12-24T06:03:00Z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C2B08812EE314F589E267A3827BACCE8</vt:lpwstr>
  </property>
</Properties>
</file>