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54FAC" w14:textId="77777777" w:rsidR="00AD0A42" w:rsidRDefault="00AD0A42" w:rsidP="00AD0A42">
      <w:pPr>
        <w:spacing w:line="360" w:lineRule="auto"/>
        <w:jc w:val="center"/>
        <w:rPr>
          <w:rFonts w:ascii="黑体" w:eastAsia="黑体" w:hAnsi="黑体" w:cs="黑体" w:hint="eastAsia"/>
          <w:sz w:val="36"/>
          <w:szCs w:val="36"/>
          <w:lang w:eastAsia="zh-TW"/>
        </w:rPr>
      </w:pPr>
      <w:r>
        <w:rPr>
          <w:rFonts w:ascii="黑体" w:eastAsia="黑体" w:hAnsi="黑体" w:cs="黑体" w:hint="eastAsia"/>
          <w:sz w:val="36"/>
          <w:szCs w:val="36"/>
          <w:lang w:eastAsia="zh-TW"/>
        </w:rPr>
        <w:t>北大秦簡《魯久次問數於陳起》“三方三圓”辨正</w:t>
      </w:r>
    </w:p>
    <w:p w14:paraId="521E45FC" w14:textId="77777777" w:rsidR="00AD0A42" w:rsidRDefault="00AD0A42" w:rsidP="00AD0A42">
      <w:pPr>
        <w:spacing w:line="360" w:lineRule="auto"/>
        <w:jc w:val="center"/>
        <w:rPr>
          <w:rFonts w:ascii="黑体" w:eastAsia="黑体" w:hAnsi="黑体" w:cs="黑体" w:hint="eastAsia"/>
          <w:sz w:val="28"/>
          <w:szCs w:val="28"/>
        </w:rPr>
      </w:pPr>
      <w:r w:rsidRPr="00AD0A42">
        <w:rPr>
          <w:rFonts w:ascii="黑体" w:eastAsia="黑体" w:hAnsi="黑体" w:cs="黑体" w:hint="eastAsia"/>
          <w:sz w:val="28"/>
          <w:szCs w:val="28"/>
        </w:rPr>
        <w:t>（首</w:t>
      </w:r>
      <w:proofErr w:type="gramStart"/>
      <w:r w:rsidRPr="00AD0A42">
        <w:rPr>
          <w:rFonts w:ascii="黑体" w:eastAsia="黑体" w:hAnsi="黑体" w:cs="黑体" w:hint="eastAsia"/>
          <w:sz w:val="28"/>
          <w:szCs w:val="28"/>
        </w:rPr>
        <w:t>發</w:t>
      </w:r>
      <w:proofErr w:type="gramEnd"/>
      <w:r w:rsidRPr="00AD0A42">
        <w:rPr>
          <w:rFonts w:ascii="黑体" w:eastAsia="黑体" w:hAnsi="黑体" w:cs="黑体" w:hint="eastAsia"/>
          <w:sz w:val="28"/>
          <w:szCs w:val="28"/>
        </w:rPr>
        <w:t>）</w:t>
      </w:r>
    </w:p>
    <w:p w14:paraId="59DDCA11" w14:textId="77777777" w:rsidR="00532710" w:rsidRPr="00AD0A42" w:rsidRDefault="00532710" w:rsidP="00AD0A42">
      <w:pPr>
        <w:spacing w:line="360" w:lineRule="auto"/>
        <w:jc w:val="center"/>
        <w:rPr>
          <w:rFonts w:ascii="黑体" w:eastAsia="黑体" w:hAnsi="黑体" w:cs="黑体" w:hint="eastAsia"/>
          <w:sz w:val="28"/>
          <w:szCs w:val="28"/>
        </w:rPr>
      </w:pPr>
    </w:p>
    <w:p w14:paraId="3F8A83E4" w14:textId="77777777" w:rsidR="00AD0A42" w:rsidRPr="00AD0A42" w:rsidRDefault="00AD0A42" w:rsidP="00AD0A42">
      <w:pPr>
        <w:spacing w:line="360" w:lineRule="auto"/>
        <w:jc w:val="center"/>
        <w:rPr>
          <w:rFonts w:ascii="黑体" w:eastAsia="黑体" w:hAnsi="黑体" w:cs="黑体" w:hint="eastAsia"/>
          <w:sz w:val="28"/>
          <w:szCs w:val="28"/>
        </w:rPr>
      </w:pPr>
      <w:r w:rsidRPr="00AD0A42">
        <w:rPr>
          <w:rFonts w:ascii="黑体" w:eastAsia="黑体" w:hAnsi="黑体" w:cs="黑体" w:hint="eastAsia"/>
          <w:sz w:val="28"/>
          <w:szCs w:val="28"/>
        </w:rPr>
        <w:t>关达明</w:t>
      </w:r>
    </w:p>
    <w:p w14:paraId="6E6FBFD7" w14:textId="6BB951F8" w:rsidR="00AD0A42" w:rsidRPr="00AD0A42" w:rsidRDefault="00AD0A42" w:rsidP="00AD0A42">
      <w:pPr>
        <w:spacing w:line="360" w:lineRule="auto"/>
        <w:jc w:val="center"/>
        <w:rPr>
          <w:rFonts w:ascii="黑体" w:eastAsia="黑体" w:hAnsi="黑体" w:cs="黑体" w:hint="eastAsia"/>
          <w:sz w:val="28"/>
          <w:szCs w:val="28"/>
        </w:rPr>
      </w:pPr>
      <w:r w:rsidRPr="00AD0A42">
        <w:rPr>
          <w:rFonts w:ascii="黑体" w:eastAsia="黑体" w:hAnsi="黑体" w:cs="黑体" w:hint="eastAsia"/>
          <w:sz w:val="28"/>
          <w:szCs w:val="28"/>
        </w:rPr>
        <w:t>湖北省社会科学院楚文化所</w:t>
      </w:r>
    </w:p>
    <w:p w14:paraId="501F9F81" w14:textId="77777777" w:rsidR="00AD0A42" w:rsidRDefault="00AD0A42" w:rsidP="00AD0A42">
      <w:pPr>
        <w:spacing w:line="360" w:lineRule="auto"/>
        <w:jc w:val="left"/>
        <w:rPr>
          <w:rFonts w:ascii="黑体" w:eastAsia="黑体" w:hAnsi="黑体" w:cs="黑体" w:hint="eastAsia"/>
        </w:rPr>
      </w:pPr>
    </w:p>
    <w:p w14:paraId="6836F034" w14:textId="77777777" w:rsidR="00AD0A42" w:rsidRPr="001809D2" w:rsidRDefault="00AD0A42" w:rsidP="00AD0A42">
      <w:pPr>
        <w:spacing w:line="360" w:lineRule="auto"/>
        <w:jc w:val="left"/>
        <w:rPr>
          <w:rFonts w:ascii="华文楷体" w:eastAsia="华文楷体" w:hAnsi="华文楷体" w:hint="eastAsia"/>
          <w:szCs w:val="24"/>
          <w:lang w:eastAsia="zh-TW"/>
        </w:rPr>
      </w:pPr>
      <w:r w:rsidRPr="00532710">
        <w:rPr>
          <w:rFonts w:ascii="黑体" w:eastAsia="黑体" w:hAnsi="黑体" w:cs="黑体" w:hint="eastAsia"/>
          <w:szCs w:val="24"/>
          <w:lang w:eastAsia="zh-TW"/>
        </w:rPr>
        <w:t>摘要：</w:t>
      </w:r>
      <w:r w:rsidRPr="001809D2">
        <w:rPr>
          <w:rFonts w:ascii="华文楷体" w:eastAsia="华文楷体" w:hAnsi="华文楷体" w:hint="eastAsia"/>
          <w:szCs w:val="24"/>
          <w:lang w:eastAsia="zh-TW"/>
        </w:rPr>
        <w:t>北京大學藏秦簡牘《算書甲種》之《魯久次問數於陳起》（簡稱“《陳起》”）所載“三方三圓”說，既往研究者多以宇宙結構或模型予以解讀，並以《周髀算經》提示的數理幾何關係或天文現象加以詮釋與擬構。此種研究不僅存在對《周髀算經》的路徑依賴，所擬模型更是脫離了《陳起》的文本內證，成爲近乎游離於簡文內容的圖式想象。本文立足《陳起》文本的內在脈絡，引入出土式盤和式圖以及相關文獻作爲參照，對“三方三圓”的體系進行重新解讀，認爲其並非是任何數理幾何意義的宇宙結構或天文模型，而是要素豐富的占卜圖式。在此基礎上，本文對“單薄之叁”、“日之七”、“播之五”等關鍵術語的涵義亦予以新的釋讀。</w:t>
      </w:r>
    </w:p>
    <w:p w14:paraId="1EA9DAA7" w14:textId="77777777" w:rsidR="00AD0A42" w:rsidRPr="001809D2" w:rsidRDefault="00AD0A42" w:rsidP="00AD0A42">
      <w:pPr>
        <w:spacing w:line="360" w:lineRule="auto"/>
        <w:jc w:val="left"/>
        <w:rPr>
          <w:rFonts w:ascii="华文楷体" w:eastAsia="华文楷体" w:hAnsi="华文楷体" w:hint="eastAsia"/>
          <w:szCs w:val="24"/>
          <w:lang w:eastAsia="zh-TW"/>
        </w:rPr>
      </w:pPr>
      <w:r w:rsidRPr="00532710">
        <w:rPr>
          <w:rFonts w:ascii="黑体" w:eastAsia="黑体" w:hAnsi="黑体" w:cs="黑体" w:hint="eastAsia"/>
          <w:szCs w:val="24"/>
          <w:lang w:eastAsia="zh-TW"/>
        </w:rPr>
        <w:t>關鍵詞：</w:t>
      </w:r>
      <w:r w:rsidRPr="001809D2">
        <w:rPr>
          <w:rFonts w:ascii="华文楷体" w:eastAsia="华文楷体" w:hAnsi="华文楷体" w:hint="eastAsia"/>
          <w:szCs w:val="24"/>
          <w:lang w:eastAsia="zh-TW"/>
        </w:rPr>
        <w:t>三方三圓；式盤；圖式；北大秦簡；算書甲種</w:t>
      </w:r>
    </w:p>
    <w:p w14:paraId="7535F163" w14:textId="77777777" w:rsidR="00AD0A42" w:rsidRPr="00AD0A42" w:rsidRDefault="00AD0A42" w:rsidP="00AD0A42">
      <w:pPr>
        <w:spacing w:line="360" w:lineRule="auto"/>
        <w:jc w:val="left"/>
        <w:rPr>
          <w:rFonts w:hint="eastAsia"/>
          <w:sz w:val="28"/>
          <w:szCs w:val="28"/>
          <w:lang w:eastAsia="zh-TW"/>
        </w:rPr>
      </w:pPr>
    </w:p>
    <w:p w14:paraId="317A5010"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《魯久次問數於陳起》（以下簡稱“《陳起》”）是北京大學藏秦簡牘中《算書甲種》開頭一篇獨立的文章，有研究者指出，該篇詳盡論述了古代數學的起源、作用和意義，對於中國古代數學思想</w:t>
      </w:r>
      <w:r w:rsidRPr="00AD0A42">
        <w:rPr>
          <w:rFonts w:hint="eastAsia"/>
          <w:sz w:val="28"/>
          <w:szCs w:val="28"/>
          <w:lang w:eastAsia="zh-TW"/>
        </w:rPr>
        <w:lastRenderedPageBreak/>
        <w:t>史的研究具有重大價值。</w:t>
      </w:r>
      <w:r w:rsidRPr="00AD0A42">
        <w:rPr>
          <w:rStyle w:val="a6"/>
          <w:rFonts w:hint="eastAsia"/>
          <w:sz w:val="28"/>
          <w:szCs w:val="28"/>
        </w:rPr>
        <w:footnoteReference w:id="1"/>
      </w:r>
      <w:r w:rsidRPr="00AD0A42">
        <w:rPr>
          <w:rFonts w:hint="eastAsia"/>
          <w:sz w:val="28"/>
          <w:szCs w:val="28"/>
          <w:lang w:eastAsia="zh-TW"/>
        </w:rPr>
        <w:t>其中，該篇認爲“天下之物，无不用數者”，並在此基礎上提及一種“三方三圓”的圖式，對於這一圖式，研究者往往以數理幾何意義的宇宙結構或天文模型予以解讀。例如，韓巍認爲《陳起》篇所提及的“地方三重、天圓三重”是一種宇宙結構；</w:t>
      </w:r>
      <w:r w:rsidRPr="00AD0A42">
        <w:rPr>
          <w:rStyle w:val="a6"/>
          <w:rFonts w:hint="eastAsia"/>
          <w:sz w:val="28"/>
          <w:szCs w:val="28"/>
        </w:rPr>
        <w:footnoteReference w:id="2"/>
      </w:r>
      <w:r w:rsidRPr="00AD0A42">
        <w:rPr>
          <w:rFonts w:hint="eastAsia"/>
          <w:sz w:val="28"/>
          <w:szCs w:val="28"/>
          <w:lang w:eastAsia="zh-TW"/>
        </w:rPr>
        <w:t>曹方向認爲“三方三圓”是建立在“蓋天說”基礎上的宇宙模型，將其中的“三圓”理解爲《周髀算經》中“七衡六間”的外、中、內三衡，並將“單薄之叁”、“日之七”、“播之五”理解爲《周髀算經》描述的冬至日、兩分日、夏至日的日照長度（見下圖1）；</w:t>
      </w:r>
      <w:r w:rsidRPr="00AD0A42">
        <w:rPr>
          <w:rStyle w:val="a6"/>
          <w:rFonts w:hint="eastAsia"/>
          <w:sz w:val="28"/>
          <w:szCs w:val="28"/>
        </w:rPr>
        <w:footnoteReference w:id="3"/>
      </w:r>
      <w:r w:rsidRPr="00AD0A42">
        <w:rPr>
          <w:rFonts w:hint="eastAsia"/>
          <w:sz w:val="28"/>
          <w:szCs w:val="28"/>
          <w:lang w:eastAsia="zh-TW"/>
        </w:rPr>
        <w:t>陳鐿文、曲安京則從“單薄之叁”、“日之七”、“播之五”的數理關係和方圓的幾何關係切入，擬構了一個不同於《周髀算經》“七衡六間”的蓋天說模型，並認爲該擬構模型比《周髀算經》的模型更爲簡潔、合理（見下圖2）。</w:t>
      </w:r>
      <w:r w:rsidRPr="00AD0A42">
        <w:rPr>
          <w:rStyle w:val="a6"/>
          <w:rFonts w:hint="eastAsia"/>
          <w:sz w:val="28"/>
          <w:szCs w:val="28"/>
        </w:rPr>
        <w:footnoteReference w:id="4"/>
      </w:r>
    </w:p>
    <w:p w14:paraId="3C5E3B46" w14:textId="0E22F80B" w:rsidR="00AD0A42" w:rsidRPr="00AD0A42" w:rsidRDefault="00AD0A42" w:rsidP="00AD0A42">
      <w:pPr>
        <w:spacing w:line="360" w:lineRule="auto"/>
        <w:jc w:val="center"/>
        <w:rPr>
          <w:rFonts w:hint="eastAsia"/>
          <w:sz w:val="28"/>
          <w:szCs w:val="28"/>
        </w:rPr>
      </w:pPr>
      <w:r w:rsidRPr="00AD0A42">
        <w:rPr>
          <w:noProof/>
          <w:sz w:val="28"/>
          <w:szCs w:val="28"/>
        </w:rPr>
        <w:lastRenderedPageBreak/>
        <w:drawing>
          <wp:inline distT="0" distB="0" distL="0" distR="0" wp14:anchorId="17DC73D5" wp14:editId="543847AF">
            <wp:extent cx="2476500" cy="2400300"/>
            <wp:effectExtent l="0" t="0" r="0" b="0"/>
            <wp:docPr id="1461947467" name="图片 24" descr="d9e381b6-78a6-47cb-8162-b8ba6d35ce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d9e381b6-78a6-47cb-8162-b8ba6d35ceb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2400300"/>
                    </a:xfrm>
                    <a:prstGeom prst="rect">
                      <a:avLst/>
                    </a:prstGeom>
                    <a:noFill/>
                    <a:ln>
                      <a:noFill/>
                    </a:ln>
                    <a:effectLst/>
                  </pic:spPr>
                </pic:pic>
              </a:graphicData>
            </a:graphic>
          </wp:inline>
        </w:drawing>
      </w:r>
    </w:p>
    <w:p w14:paraId="0614AE85" w14:textId="77777777" w:rsidR="00AD0A42" w:rsidRPr="00AD0A42" w:rsidRDefault="00AD0A42" w:rsidP="00AD0A42">
      <w:pPr>
        <w:pStyle w:val="af2"/>
        <w:spacing w:before="540" w:after="540" w:line="360" w:lineRule="auto"/>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t>圖</w:t>
      </w:r>
      <w:r w:rsidRPr="00AD0A42">
        <w:rPr>
          <w:rFonts w:ascii="宋体" w:eastAsia="宋体" w:hAnsi="宋体"/>
          <w:sz w:val="24"/>
          <w:szCs w:val="24"/>
          <w:lang w:eastAsia="zh-TW"/>
        </w:rPr>
        <w:t xml:space="preserve"> </w:t>
      </w:r>
      <w:r w:rsidRPr="00AD0A42">
        <w:rPr>
          <w:rFonts w:ascii="宋体" w:eastAsia="宋体" w:hAnsi="宋体"/>
          <w:sz w:val="24"/>
          <w:szCs w:val="24"/>
        </w:rPr>
        <w:fldChar w:fldCharType="begin"/>
      </w:r>
      <w:r w:rsidRPr="00AD0A42">
        <w:rPr>
          <w:rFonts w:ascii="宋体" w:eastAsia="宋体" w:hAnsi="宋体"/>
          <w:sz w:val="24"/>
          <w:szCs w:val="24"/>
          <w:lang w:eastAsia="zh-TW"/>
        </w:rPr>
        <w:instrText xml:space="preserve"> SEQ 图 \* ARABIC </w:instrText>
      </w:r>
      <w:r w:rsidRPr="00AD0A42">
        <w:rPr>
          <w:rFonts w:ascii="宋体" w:eastAsia="宋体" w:hAnsi="宋体"/>
          <w:sz w:val="24"/>
          <w:szCs w:val="24"/>
        </w:rPr>
        <w:fldChar w:fldCharType="separate"/>
      </w:r>
      <w:r w:rsidRPr="00AD0A42">
        <w:rPr>
          <w:rFonts w:ascii="宋体" w:eastAsia="宋体" w:hAnsi="宋体"/>
          <w:sz w:val="24"/>
          <w:szCs w:val="24"/>
          <w:lang w:eastAsia="zh-TW"/>
        </w:rPr>
        <w:t>1</w:t>
      </w:r>
      <w:r w:rsidRPr="00AD0A42">
        <w:rPr>
          <w:rFonts w:ascii="宋体" w:eastAsia="宋体" w:hAnsi="宋体"/>
          <w:sz w:val="24"/>
          <w:szCs w:val="24"/>
        </w:rPr>
        <w:fldChar w:fldCharType="end"/>
      </w:r>
      <w:r w:rsidRPr="00AD0A42">
        <w:rPr>
          <w:rFonts w:ascii="宋体" w:eastAsia="宋体" w:hAnsi="宋体" w:hint="eastAsia"/>
          <w:sz w:val="24"/>
          <w:szCs w:val="24"/>
          <w:lang w:eastAsia="zh-TW"/>
        </w:rPr>
        <w:t xml:space="preserve">   曹方向引《周髀算經》的“三方三圓”圖解</w:t>
      </w:r>
    </w:p>
    <w:p w14:paraId="6277DFBC" w14:textId="23223362" w:rsidR="00AD0A42" w:rsidRPr="00AD0A42" w:rsidRDefault="00AD0A42" w:rsidP="00AD0A42">
      <w:pPr>
        <w:spacing w:line="360" w:lineRule="auto"/>
        <w:jc w:val="center"/>
        <w:rPr>
          <w:rFonts w:hint="eastAsia"/>
          <w:sz w:val="28"/>
          <w:szCs w:val="28"/>
        </w:rPr>
      </w:pPr>
      <w:r w:rsidRPr="00AD0A42">
        <w:rPr>
          <w:noProof/>
          <w:sz w:val="28"/>
          <w:szCs w:val="28"/>
        </w:rPr>
        <w:drawing>
          <wp:inline distT="0" distB="0" distL="0" distR="0" wp14:anchorId="7F547ECD" wp14:editId="28D8E050">
            <wp:extent cx="2133600" cy="2110740"/>
            <wp:effectExtent l="0" t="0" r="0" b="3810"/>
            <wp:docPr id="431714303" name="图片 23" descr="25c0b82f-1dd4-4aff-8e47-1d2a98826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25c0b82f-1dd4-4aff-8e47-1d2a988260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2110740"/>
                    </a:xfrm>
                    <a:prstGeom prst="rect">
                      <a:avLst/>
                    </a:prstGeom>
                    <a:noFill/>
                    <a:ln>
                      <a:noFill/>
                    </a:ln>
                    <a:effectLst/>
                  </pic:spPr>
                </pic:pic>
              </a:graphicData>
            </a:graphic>
          </wp:inline>
        </w:drawing>
      </w:r>
    </w:p>
    <w:p w14:paraId="2BCF0AB6" w14:textId="77777777" w:rsidR="00AD0A42" w:rsidRPr="00AD0A42" w:rsidRDefault="00AD0A42" w:rsidP="00AD0A42">
      <w:pPr>
        <w:pStyle w:val="af2"/>
        <w:spacing w:before="540" w:after="540" w:line="360" w:lineRule="auto"/>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t>圖</w:t>
      </w:r>
      <w:r w:rsidRPr="00AD0A42">
        <w:rPr>
          <w:rFonts w:ascii="宋体" w:eastAsia="宋体" w:hAnsi="宋体"/>
          <w:sz w:val="24"/>
          <w:szCs w:val="24"/>
          <w:lang w:eastAsia="zh-TW"/>
        </w:rPr>
        <w:t xml:space="preserve"> </w:t>
      </w:r>
      <w:r w:rsidRPr="00AD0A42">
        <w:rPr>
          <w:rFonts w:ascii="宋体" w:eastAsia="宋体" w:hAnsi="宋体"/>
          <w:sz w:val="24"/>
          <w:szCs w:val="24"/>
        </w:rPr>
        <w:fldChar w:fldCharType="begin"/>
      </w:r>
      <w:r w:rsidRPr="00AD0A42">
        <w:rPr>
          <w:rFonts w:ascii="宋体" w:eastAsia="宋体" w:hAnsi="宋体"/>
          <w:sz w:val="24"/>
          <w:szCs w:val="24"/>
          <w:lang w:eastAsia="zh-TW"/>
        </w:rPr>
        <w:instrText xml:space="preserve"> SEQ 图 \* ARABIC </w:instrText>
      </w:r>
      <w:r w:rsidRPr="00AD0A42">
        <w:rPr>
          <w:rFonts w:ascii="宋体" w:eastAsia="宋体" w:hAnsi="宋体"/>
          <w:sz w:val="24"/>
          <w:szCs w:val="24"/>
        </w:rPr>
        <w:fldChar w:fldCharType="separate"/>
      </w:r>
      <w:r w:rsidRPr="00AD0A42">
        <w:rPr>
          <w:rFonts w:ascii="宋体" w:eastAsia="宋体" w:hAnsi="宋体"/>
          <w:sz w:val="24"/>
          <w:szCs w:val="24"/>
          <w:lang w:eastAsia="zh-TW"/>
        </w:rPr>
        <w:t>2</w:t>
      </w:r>
      <w:r w:rsidRPr="00AD0A42">
        <w:rPr>
          <w:rFonts w:ascii="宋体" w:eastAsia="宋体" w:hAnsi="宋体"/>
          <w:sz w:val="24"/>
          <w:szCs w:val="24"/>
        </w:rPr>
        <w:fldChar w:fldCharType="end"/>
      </w:r>
      <w:r w:rsidRPr="00AD0A42">
        <w:rPr>
          <w:rFonts w:ascii="宋体" w:eastAsia="宋体" w:hAnsi="宋体" w:hint="eastAsia"/>
          <w:sz w:val="24"/>
          <w:szCs w:val="24"/>
          <w:lang w:eastAsia="zh-TW"/>
        </w:rPr>
        <w:t xml:space="preserve">   陳鐿文、曲安京關於“三方三圓”的數理幾何關係圖解</w:t>
      </w:r>
    </w:p>
    <w:p w14:paraId="40DAB2AC"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然而，以上諸說均未能立足於《陳起》篇自身的文本敘事，事實上成爲遊離於《陳起》篇文本之外的圖式想象。《陳起》篇作爲一</w:t>
      </w:r>
      <w:r w:rsidRPr="00AD0A42">
        <w:rPr>
          <w:rFonts w:hint="eastAsia"/>
          <w:sz w:val="28"/>
          <w:szCs w:val="28"/>
          <w:lang w:eastAsia="zh-TW"/>
        </w:rPr>
        <w:lastRenderedPageBreak/>
        <w:t>篇佚失於歷史中的數學思想文獻，其內容的完整性、獨立性意味著對其中相關概念、知識的理解應置於該篇文本情境來加以考察，將內在的文理與外部辭例驗證相結合，應是出土文獻，特別是思想類出土文獻的重要原則。在這一原則的指導下，本文立足於《陳起》篇的相關內容，認爲“三方三圓”應是一種以五音、十二律、十二辰、二十八宿、十日等爲要素的占卜圖式，而非時人數理幾何意義的宇宙結構或天文模型。茲略陳管見如下。</w:t>
      </w:r>
    </w:p>
    <w:p w14:paraId="2105400F" w14:textId="77777777" w:rsidR="00AD0A42" w:rsidRPr="00AD0A42" w:rsidRDefault="00AD0A42" w:rsidP="00AD0A42">
      <w:pPr>
        <w:spacing w:line="360" w:lineRule="auto"/>
        <w:ind w:firstLineChars="200" w:firstLine="560"/>
        <w:jc w:val="left"/>
        <w:rPr>
          <w:rFonts w:hint="eastAsia"/>
          <w:sz w:val="28"/>
          <w:szCs w:val="28"/>
          <w:lang w:eastAsia="zh-TW"/>
        </w:rPr>
      </w:pPr>
    </w:p>
    <w:p w14:paraId="5C52A911" w14:textId="34E2EC38" w:rsidR="00AD0A42" w:rsidRDefault="00AD0A42" w:rsidP="00AD0A42">
      <w:pPr>
        <w:spacing w:line="360" w:lineRule="auto"/>
        <w:jc w:val="left"/>
        <w:rPr>
          <w:rFonts w:ascii="黑体" w:eastAsia="黑体" w:hAnsi="黑体" w:cs="黑体" w:hint="eastAsia"/>
          <w:sz w:val="28"/>
          <w:szCs w:val="28"/>
          <w:lang w:eastAsia="zh-TW"/>
        </w:rPr>
      </w:pPr>
      <w:r w:rsidRPr="00AD0A42">
        <w:rPr>
          <w:rFonts w:ascii="黑体" w:eastAsia="黑体" w:hAnsi="黑体" w:cs="黑体" w:hint="eastAsia"/>
          <w:sz w:val="28"/>
          <w:szCs w:val="28"/>
          <w:lang w:eastAsia="zh-TW"/>
        </w:rPr>
        <w:t>一、“命爲四卦，以卜天下”：“三方三圓”的占卜性質</w:t>
      </w:r>
    </w:p>
    <w:p w14:paraId="3BF0A88A" w14:textId="77777777" w:rsidR="00AD0A42" w:rsidRPr="00AD0A42" w:rsidRDefault="00AD0A42" w:rsidP="00AD0A42">
      <w:pPr>
        <w:spacing w:line="360" w:lineRule="auto"/>
        <w:jc w:val="left"/>
        <w:rPr>
          <w:rFonts w:ascii="黑体" w:eastAsia="黑体" w:hAnsi="黑体" w:cs="黑体" w:hint="eastAsia"/>
          <w:sz w:val="28"/>
          <w:szCs w:val="28"/>
          <w:lang w:eastAsia="zh-TW"/>
        </w:rPr>
      </w:pPr>
    </w:p>
    <w:p w14:paraId="3A198406" w14:textId="77777777" w:rsid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關於《陳起》篇中“三方三圓”性質，簡文給出了明確的理解方向，即占卜性質而非某種對於宇宙描述的性質。爲方便討論，茲將《陳起》篇的相關簡文抄錄於下：</w:t>
      </w:r>
    </w:p>
    <w:p w14:paraId="036EEBB8" w14:textId="77777777" w:rsidR="00AD0A42" w:rsidRPr="00AD0A42" w:rsidRDefault="00AD0A42" w:rsidP="00AD0A42">
      <w:pPr>
        <w:spacing w:line="360" w:lineRule="auto"/>
        <w:ind w:firstLineChars="200" w:firstLine="560"/>
        <w:jc w:val="left"/>
        <w:rPr>
          <w:rFonts w:hint="eastAsia"/>
          <w:sz w:val="28"/>
          <w:szCs w:val="28"/>
          <w:lang w:eastAsia="zh-TW"/>
        </w:rPr>
      </w:pPr>
    </w:p>
    <w:p w14:paraId="7FEA9B70" w14:textId="77777777" w:rsidR="00AD0A42" w:rsidRPr="00532710" w:rsidRDefault="00AD0A42" w:rsidP="00AD0A42">
      <w:pPr>
        <w:spacing w:line="360" w:lineRule="auto"/>
        <w:ind w:leftChars="200" w:left="480" w:rightChars="200" w:right="480" w:firstLineChars="200" w:firstLine="480"/>
        <w:jc w:val="left"/>
        <w:rPr>
          <w:rFonts w:ascii="楷体" w:eastAsia="楷体" w:hAnsi="楷体" w:cs="楷体" w:hint="eastAsia"/>
          <w:szCs w:val="24"/>
          <w:lang w:eastAsia="zh-TW"/>
        </w:rPr>
      </w:pPr>
      <w:r w:rsidRPr="00532710">
        <w:rPr>
          <w:rFonts w:ascii="楷体" w:eastAsia="楷体" w:hAnsi="楷体" w:cs="楷体" w:hint="eastAsia"/>
          <w:szCs w:val="24"/>
          <w:lang w:eastAsia="zh-TW"/>
        </w:rPr>
        <w:t>天下之物，无不用數者。夫天所蓋之大殹（也），地所生之眾殹（也），歲四時之至殹（也），日月相代殹（也），星辰之生〈往〉與來殹（也），五音六律生殹（也），畢用數。子其近計之：一日之役必先智（知）食數，一日之行必先智智（知）里數，一日之田必先智（知）畝數，此皆數之始殹（也）。今夫疾之發於百𦡊（體）之尌（屬）殹（也），自足、胻、腂（踝）、厀（膝）、股、脾（髀）、𮌳</w:t>
      </w:r>
      <w:r w:rsidRPr="00532710">
        <w:rPr>
          <w:rFonts w:ascii="楷体" w:eastAsia="楷体" w:hAnsi="楷体" w:cs="楷体" w:hint="eastAsia"/>
          <w:szCs w:val="24"/>
          <w:lang w:eastAsia="zh-TW"/>
        </w:rPr>
        <w:lastRenderedPageBreak/>
        <w:t>（尻）、族〈旅（膂）〉、脊、脅、肩、應（膺）、手、臂、肘、臑、耳、目、鼻、口、頸、項，苟智（知）其疾發之日，蚤（早）莫（暮）之時，其瘳與死畢有數。所以有數故可（何）殹（也）？曰：地方三重，天員（圓）三重，故曰三方三員（圓），規椐（矩）水繩、五音六律六𥳑（閒）皆存。始者（諸）黃帝、諯（顓）玉（頊）、堯、舜之智，循鯀、禹、睪（皋）匋（陶）、羿、䉒〈箠（垂）〉之巧，以作命天下之灋，以立鐘之副。副黃鐘以爲十二律，以印久天下爲十二時，命曰十二字，生五音、十日、廿八日宿。道頭到足，百𦡊（體）各有笥（司）殹（也），是故百𦡊（體）之痈（癰），其瘳與死各有數。曰：大方大員（圓），命曰單薄之參；中方中員（圓），命曰日之七；小方小員（圓），命曰播之五。故曰：黃鐘之副，單薄之參，日之七，播之五，命爲四卦，以卜天下。</w:t>
      </w:r>
      <w:r w:rsidRPr="00532710">
        <w:rPr>
          <w:rStyle w:val="a6"/>
          <w:rFonts w:ascii="楷体" w:eastAsia="楷体" w:hAnsi="楷体" w:cs="楷体" w:hint="eastAsia"/>
          <w:szCs w:val="24"/>
        </w:rPr>
        <w:footnoteReference w:id="5"/>
      </w:r>
    </w:p>
    <w:p w14:paraId="698D1B6C" w14:textId="77777777" w:rsidR="00AD0A42" w:rsidRPr="00AD0A42" w:rsidRDefault="00AD0A42" w:rsidP="00AD0A42">
      <w:pPr>
        <w:spacing w:line="360" w:lineRule="auto"/>
        <w:ind w:leftChars="200" w:left="480" w:rightChars="200" w:right="480" w:firstLineChars="200" w:firstLine="560"/>
        <w:jc w:val="left"/>
        <w:rPr>
          <w:rFonts w:ascii="楷体" w:eastAsia="楷体" w:hAnsi="楷体" w:cs="楷体" w:hint="eastAsia"/>
          <w:sz w:val="28"/>
          <w:szCs w:val="28"/>
          <w:lang w:eastAsia="zh-TW"/>
        </w:rPr>
      </w:pPr>
    </w:p>
    <w:p w14:paraId="665A1FE8" w14:textId="77777777" w:rsidR="00AD0A42" w:rsidRPr="00AD0A42" w:rsidRDefault="00AD0A42" w:rsidP="00AD0A42">
      <w:pPr>
        <w:spacing w:line="360" w:lineRule="auto"/>
        <w:jc w:val="left"/>
        <w:rPr>
          <w:rFonts w:hint="eastAsia"/>
          <w:sz w:val="28"/>
          <w:szCs w:val="28"/>
          <w:lang w:eastAsia="zh-TW"/>
        </w:rPr>
      </w:pPr>
      <w:r w:rsidRPr="00AD0A42">
        <w:rPr>
          <w:rFonts w:hint="eastAsia"/>
          <w:sz w:val="28"/>
          <w:szCs w:val="28"/>
          <w:lang w:eastAsia="zh-TW"/>
        </w:rPr>
        <w:t>該段簡文見於陳起答魯久次第二問——“天下之物，孰不用數？”所謂“用數”，在簡文中應指“數”的應用，此段簡文的內容是陳起回答魯久次時所舉“數”的應用范圍，其中，可以分爲三個層面。</w:t>
      </w:r>
    </w:p>
    <w:p w14:paraId="2A86E9D0"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其一，“遠”的層面：從宏觀層面介紹“數”的應用“數”，包括用“數”對天地范圍的空間描述（“</w:t>
      </w:r>
      <w:r w:rsidRPr="00AD0A42">
        <w:rPr>
          <w:rFonts w:ascii="楷体" w:eastAsia="楷体" w:hAnsi="楷体" w:cs="楷体" w:hint="eastAsia"/>
          <w:sz w:val="28"/>
          <w:szCs w:val="28"/>
          <w:lang w:eastAsia="zh-TW"/>
        </w:rPr>
        <w:t>天所蓋之大</w:t>
      </w:r>
      <w:r w:rsidRPr="00AD0A42">
        <w:rPr>
          <w:rFonts w:hint="eastAsia"/>
          <w:sz w:val="28"/>
          <w:szCs w:val="28"/>
          <w:lang w:eastAsia="zh-TW"/>
        </w:rPr>
        <w:t>”）、對自然萬物的計量描述（“</w:t>
      </w:r>
      <w:r w:rsidRPr="00AD0A42">
        <w:rPr>
          <w:rFonts w:ascii="楷体" w:eastAsia="楷体" w:hAnsi="楷体" w:cs="楷体" w:hint="eastAsia"/>
          <w:sz w:val="28"/>
          <w:szCs w:val="28"/>
          <w:lang w:eastAsia="zh-TW"/>
        </w:rPr>
        <w:t>地所生之眾</w:t>
      </w:r>
      <w:r w:rsidRPr="00AD0A42">
        <w:rPr>
          <w:rFonts w:hint="eastAsia"/>
          <w:sz w:val="28"/>
          <w:szCs w:val="28"/>
          <w:lang w:eastAsia="zh-TW"/>
        </w:rPr>
        <w:t>”）、對一歲中四時更替、晝夜長短、</w:t>
      </w:r>
      <w:r w:rsidRPr="00AD0A42">
        <w:rPr>
          <w:rFonts w:hint="eastAsia"/>
          <w:sz w:val="28"/>
          <w:szCs w:val="28"/>
          <w:lang w:eastAsia="zh-TW"/>
        </w:rPr>
        <w:lastRenderedPageBreak/>
        <w:t>星辰運行的時間規律描述（“</w:t>
      </w:r>
      <w:r w:rsidRPr="00AD0A42">
        <w:rPr>
          <w:rFonts w:ascii="楷体" w:eastAsia="楷体" w:hAnsi="楷体" w:cs="楷体" w:hint="eastAsia"/>
          <w:sz w:val="28"/>
          <w:szCs w:val="28"/>
          <w:lang w:eastAsia="zh-TW"/>
        </w:rPr>
        <w:t>歲四時之至</w:t>
      </w:r>
      <w:r w:rsidRPr="00AD0A42">
        <w:rPr>
          <w:rFonts w:hint="eastAsia"/>
          <w:sz w:val="28"/>
          <w:szCs w:val="28"/>
          <w:lang w:eastAsia="zh-TW"/>
        </w:rPr>
        <w:t>”、“</w:t>
      </w:r>
      <w:r w:rsidRPr="00AD0A42">
        <w:rPr>
          <w:rFonts w:ascii="楷体" w:eastAsia="楷体" w:hAnsi="楷体" w:cs="楷体" w:hint="eastAsia"/>
          <w:sz w:val="28"/>
          <w:szCs w:val="28"/>
          <w:lang w:eastAsia="zh-TW"/>
        </w:rPr>
        <w:t>日月相代</w:t>
      </w:r>
      <w:r w:rsidRPr="00AD0A42">
        <w:rPr>
          <w:rFonts w:hint="eastAsia"/>
          <w:sz w:val="28"/>
          <w:szCs w:val="28"/>
          <w:lang w:eastAsia="zh-TW"/>
        </w:rPr>
        <w:t>”、</w:t>
      </w:r>
      <w:r w:rsidRPr="00AD0A42">
        <w:rPr>
          <w:rStyle w:val="a6"/>
          <w:rFonts w:hint="eastAsia"/>
          <w:sz w:val="28"/>
          <w:szCs w:val="28"/>
        </w:rPr>
        <w:footnoteReference w:id="6"/>
      </w:r>
      <w:r w:rsidRPr="00AD0A42">
        <w:rPr>
          <w:rFonts w:hint="eastAsia"/>
          <w:sz w:val="28"/>
          <w:szCs w:val="28"/>
          <w:lang w:eastAsia="zh-TW"/>
        </w:rPr>
        <w:t>“</w:t>
      </w:r>
      <w:r w:rsidRPr="00AD0A42">
        <w:rPr>
          <w:rFonts w:ascii="楷体" w:eastAsia="楷体" w:hAnsi="楷体" w:cs="楷体" w:hint="eastAsia"/>
          <w:sz w:val="28"/>
          <w:szCs w:val="28"/>
          <w:lang w:eastAsia="zh-TW"/>
        </w:rPr>
        <w:t>星辰往來</w:t>
      </w:r>
      <w:r w:rsidRPr="00AD0A42">
        <w:rPr>
          <w:rFonts w:hint="eastAsia"/>
          <w:sz w:val="28"/>
          <w:szCs w:val="28"/>
          <w:lang w:eastAsia="zh-TW"/>
        </w:rPr>
        <w:t>”）、對音律生成的規則描述（“</w:t>
      </w:r>
      <w:r w:rsidRPr="00AD0A42">
        <w:rPr>
          <w:rFonts w:ascii="楷体" w:eastAsia="楷体" w:hAnsi="楷体" w:cs="楷体" w:hint="eastAsia"/>
          <w:sz w:val="28"/>
          <w:szCs w:val="28"/>
          <w:lang w:eastAsia="zh-TW"/>
        </w:rPr>
        <w:t>五音六律生也</w:t>
      </w:r>
      <w:r w:rsidRPr="00AD0A42">
        <w:rPr>
          <w:rFonts w:hint="eastAsia"/>
          <w:sz w:val="28"/>
          <w:szCs w:val="28"/>
          <w:lang w:eastAsia="zh-TW"/>
        </w:rPr>
        <w:t>”）。簡文以“畢用數”來標識這一層面論述的結束。</w:t>
      </w:r>
    </w:p>
    <w:p w14:paraId="14C4A4EF"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其二，“近”的層面：“數”在具體日用和行事規劃方面的應用，其中列舉了勞役之人的日食數（“</w:t>
      </w:r>
      <w:r w:rsidRPr="00AD0A42">
        <w:rPr>
          <w:rFonts w:ascii="楷体" w:eastAsia="楷体" w:hAnsi="楷体" w:cs="楷体" w:hint="eastAsia"/>
          <w:sz w:val="28"/>
          <w:szCs w:val="28"/>
          <w:lang w:eastAsia="zh-TW"/>
        </w:rPr>
        <w:t>一日之役必先知食數</w:t>
      </w:r>
      <w:r w:rsidRPr="00AD0A42">
        <w:rPr>
          <w:rFonts w:hint="eastAsia"/>
          <w:sz w:val="28"/>
          <w:szCs w:val="28"/>
          <w:lang w:eastAsia="zh-TW"/>
        </w:rPr>
        <w:t>”）、行途之人的日里數（“</w:t>
      </w:r>
      <w:r w:rsidRPr="00AD0A42">
        <w:rPr>
          <w:rFonts w:ascii="楷体" w:eastAsia="楷体" w:hAnsi="楷体" w:cs="楷体" w:hint="eastAsia"/>
          <w:sz w:val="28"/>
          <w:szCs w:val="28"/>
          <w:lang w:eastAsia="zh-TW"/>
        </w:rPr>
        <w:t>一日之行必先知里數</w:t>
      </w:r>
      <w:r w:rsidRPr="00AD0A42">
        <w:rPr>
          <w:rFonts w:hint="eastAsia"/>
          <w:sz w:val="28"/>
          <w:szCs w:val="28"/>
          <w:lang w:eastAsia="zh-TW"/>
        </w:rPr>
        <w:t>”）、耕作之人的日畝數（“</w:t>
      </w:r>
      <w:r w:rsidRPr="00AD0A42">
        <w:rPr>
          <w:rFonts w:ascii="楷体" w:eastAsia="楷体" w:hAnsi="楷体" w:cs="楷体" w:hint="eastAsia"/>
          <w:sz w:val="28"/>
          <w:szCs w:val="28"/>
          <w:lang w:eastAsia="zh-TW"/>
        </w:rPr>
        <w:t>一日之田必先知畝數</w:t>
      </w:r>
      <w:r w:rsidRPr="00AD0A42">
        <w:rPr>
          <w:rFonts w:hint="eastAsia"/>
          <w:sz w:val="28"/>
          <w:szCs w:val="28"/>
          <w:lang w:eastAsia="zh-TW"/>
        </w:rPr>
        <w:t>”）。簡文以“子其近計之”標識這一層面論述的開始，以“此皆數之始也”標識其結束。</w:t>
      </w:r>
    </w:p>
    <w:p w14:paraId="56F82C88"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其三，“數”的特殊應用層面——占卜。簡文中陳起以事關人之生死的疾病爲例，人們可根據病人身體的疾病發作時日推演病人的生死之數（“</w:t>
      </w:r>
      <w:r w:rsidRPr="00AD0A42">
        <w:rPr>
          <w:rFonts w:ascii="楷体" w:eastAsia="楷体" w:hAnsi="楷体" w:cs="楷体" w:hint="eastAsia"/>
          <w:sz w:val="28"/>
          <w:szCs w:val="28"/>
          <w:lang w:eastAsia="zh-TW"/>
        </w:rPr>
        <w:t>其瘳與死畢有數</w:t>
      </w:r>
      <w:r w:rsidRPr="00AD0A42">
        <w:rPr>
          <w:rFonts w:hint="eastAsia"/>
          <w:sz w:val="28"/>
          <w:szCs w:val="28"/>
          <w:lang w:eastAsia="zh-TW"/>
        </w:rPr>
        <w:t>”），而病人生死之數的推演則依憑“三方三圓”體系（“</w:t>
      </w:r>
      <w:r w:rsidRPr="00AD0A42">
        <w:rPr>
          <w:rFonts w:ascii="楷体" w:eastAsia="楷体" w:hAnsi="楷体" w:cs="楷体" w:hint="eastAsia"/>
          <w:sz w:val="28"/>
          <w:szCs w:val="28"/>
          <w:lang w:eastAsia="zh-TW"/>
        </w:rPr>
        <w:t>所以有數故何也？曰：地方三重，天圓三重</w:t>
      </w:r>
      <w:r w:rsidRPr="00AD0A42">
        <w:rPr>
          <w:rFonts w:hint="eastAsia"/>
          <w:sz w:val="28"/>
          <w:szCs w:val="28"/>
          <w:lang w:eastAsia="zh-TW"/>
        </w:rPr>
        <w:t>”）。這個“三方三圓”體系要素豐富，不僅包含規（圓）與矩（方）、水（平）與繩（直）、</w:t>
      </w:r>
      <w:r w:rsidRPr="00AD0A42">
        <w:rPr>
          <w:rStyle w:val="a6"/>
          <w:rFonts w:hint="eastAsia"/>
          <w:sz w:val="28"/>
          <w:szCs w:val="28"/>
        </w:rPr>
        <w:footnoteReference w:id="7"/>
      </w:r>
      <w:r w:rsidRPr="00AD0A42">
        <w:rPr>
          <w:rFonts w:hint="eastAsia"/>
          <w:sz w:val="28"/>
          <w:szCs w:val="28"/>
          <w:lang w:eastAsia="zh-TW"/>
        </w:rPr>
        <w:t>六律與六閒</w:t>
      </w:r>
      <w:r w:rsidRPr="00AD0A42">
        <w:rPr>
          <w:rStyle w:val="a6"/>
          <w:rFonts w:hint="eastAsia"/>
          <w:sz w:val="28"/>
          <w:szCs w:val="28"/>
        </w:rPr>
        <w:footnoteReference w:id="8"/>
      </w:r>
      <w:r w:rsidRPr="00AD0A42">
        <w:rPr>
          <w:rFonts w:hint="eastAsia"/>
          <w:sz w:val="28"/>
          <w:szCs w:val="28"/>
          <w:lang w:eastAsia="zh-TW"/>
        </w:rPr>
        <w:t>等陰陽（對立統一）要</w:t>
      </w:r>
      <w:r w:rsidRPr="00AD0A42">
        <w:rPr>
          <w:rFonts w:hint="eastAsia"/>
          <w:sz w:val="28"/>
          <w:szCs w:val="28"/>
          <w:lang w:eastAsia="zh-TW"/>
        </w:rPr>
        <w:lastRenderedPageBreak/>
        <w:t>素，還涵蓋由古先王聖賢們創製、以作爲天下法度基礎的黃鐘十二律，並有與其關聯的十二時（字）、五音、十日、廿八宿等天文、術數要素。簡文中陳起認爲，這些要素可與人體各部位相應（“</w:t>
      </w:r>
      <w:r w:rsidRPr="00AD0A42">
        <w:rPr>
          <w:rFonts w:ascii="楷体" w:eastAsia="楷体" w:hAnsi="楷体" w:cs="楷体" w:hint="eastAsia"/>
          <w:sz w:val="28"/>
          <w:szCs w:val="28"/>
          <w:lang w:eastAsia="zh-TW"/>
        </w:rPr>
        <w:t>道頭到足，百體各有司也</w:t>
      </w:r>
      <w:r w:rsidRPr="00AD0A42">
        <w:rPr>
          <w:rFonts w:hint="eastAsia"/>
          <w:sz w:val="28"/>
          <w:szCs w:val="28"/>
          <w:lang w:eastAsia="zh-TW"/>
        </w:rPr>
        <w:t>”），</w:t>
      </w:r>
      <w:r w:rsidRPr="00AD0A42">
        <w:rPr>
          <w:rStyle w:val="a6"/>
          <w:rFonts w:hint="eastAsia"/>
          <w:sz w:val="28"/>
          <w:szCs w:val="28"/>
        </w:rPr>
        <w:footnoteReference w:id="9"/>
      </w:r>
      <w:r w:rsidRPr="00AD0A42">
        <w:rPr>
          <w:rFonts w:hint="eastAsia"/>
          <w:sz w:val="28"/>
          <w:szCs w:val="28"/>
          <w:lang w:eastAsia="zh-TW"/>
        </w:rPr>
        <w:t>因此，人的身體疾病也有可推演預測的可知之“數”（“</w:t>
      </w:r>
      <w:r w:rsidRPr="00AD0A42">
        <w:rPr>
          <w:rFonts w:ascii="楷体" w:eastAsia="楷体" w:hAnsi="楷体" w:cs="楷体" w:hint="eastAsia"/>
          <w:sz w:val="28"/>
          <w:szCs w:val="28"/>
          <w:lang w:eastAsia="zh-TW"/>
        </w:rPr>
        <w:t>是故百體之癰，其瘳與死各有數</w:t>
      </w:r>
      <w:r w:rsidRPr="00AD0A42">
        <w:rPr>
          <w:rFonts w:hint="eastAsia"/>
          <w:sz w:val="28"/>
          <w:szCs w:val="28"/>
          <w:lang w:eastAsia="zh-TW"/>
        </w:rPr>
        <w:t>”）。此外，在陳起看來，“黃鐘之副”與“三方三圓”構成體系可用於占卜天下萬事（“</w:t>
      </w:r>
      <w:r w:rsidRPr="00AD0A42">
        <w:rPr>
          <w:rFonts w:ascii="楷体" w:eastAsia="楷体" w:hAnsi="楷体" w:cs="楷体" w:hint="eastAsia"/>
          <w:sz w:val="28"/>
          <w:szCs w:val="28"/>
          <w:lang w:eastAsia="zh-TW"/>
        </w:rPr>
        <w:t>命爲四卦，以卜天下</w:t>
      </w:r>
      <w:r w:rsidRPr="00AD0A42">
        <w:rPr>
          <w:rFonts w:hint="eastAsia"/>
          <w:sz w:val="28"/>
          <w:szCs w:val="28"/>
          <w:lang w:eastAsia="zh-TW"/>
        </w:rPr>
        <w:t>”）。</w:t>
      </w:r>
    </w:p>
    <w:p w14:paraId="09D130BB"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應該指出的是，也有研究者曾對該段的文本內容進行了結構分析，如郭世榮、</w:t>
      </w:r>
      <w:r w:rsidRPr="00AD0A42">
        <w:rPr>
          <w:rStyle w:val="a6"/>
          <w:rFonts w:hint="eastAsia"/>
          <w:sz w:val="28"/>
          <w:szCs w:val="28"/>
        </w:rPr>
        <w:footnoteReference w:id="10"/>
      </w:r>
      <w:r w:rsidRPr="00AD0A42">
        <w:rPr>
          <w:rFonts w:hint="eastAsia"/>
          <w:sz w:val="28"/>
          <w:szCs w:val="28"/>
          <w:lang w:eastAsia="zh-TW"/>
        </w:rPr>
        <w:t>劉未沫</w:t>
      </w:r>
      <w:r w:rsidRPr="00AD0A42">
        <w:rPr>
          <w:rStyle w:val="a6"/>
          <w:rFonts w:hint="eastAsia"/>
          <w:sz w:val="28"/>
          <w:szCs w:val="28"/>
        </w:rPr>
        <w:footnoteReference w:id="11"/>
      </w:r>
      <w:r w:rsidRPr="00AD0A42">
        <w:rPr>
          <w:rFonts w:hint="eastAsia"/>
          <w:sz w:val="28"/>
          <w:szCs w:val="28"/>
          <w:lang w:eastAsia="zh-TW"/>
        </w:rPr>
        <w:t>等，他們將“三方三圓”的提出視作該段問答中的一個獨立內容層面，但都未注意到該段文本之內的前後關</w:t>
      </w:r>
      <w:r w:rsidRPr="00AD0A42">
        <w:rPr>
          <w:rFonts w:hint="eastAsia"/>
          <w:sz w:val="28"/>
          <w:szCs w:val="28"/>
          <w:lang w:eastAsia="zh-TW"/>
        </w:rPr>
        <w:lastRenderedPageBreak/>
        <w:t>聯。具體來說，該段文本中“曰：地方三重，天圓三重”的“曰”字顯然是一處問答的答語標識，上一句“所以有數故可殹”，韓巍原釋“可殹”爲“可醫”，</w:t>
      </w:r>
      <w:r w:rsidRPr="00AD0A42">
        <w:rPr>
          <w:rStyle w:val="a6"/>
          <w:rFonts w:hint="eastAsia"/>
          <w:sz w:val="28"/>
          <w:szCs w:val="28"/>
        </w:rPr>
        <w:footnoteReference w:id="12"/>
      </w:r>
      <w:r w:rsidRPr="00AD0A42">
        <w:rPr>
          <w:rFonts w:hint="eastAsia"/>
          <w:sz w:val="28"/>
          <w:szCs w:val="28"/>
          <w:lang w:eastAsia="zh-TW"/>
        </w:rPr>
        <w:t>後改釋爲“可（何）殹（也）？”表示設問語氣，無疑是正確的。因而該段簡文中“曰：地方三重，天圓三重”並非陳起獨立介紹了一個“三方三圓”的宇宙圖式，而是進一步說明在疾病中“瘳與死畢有數”的依據是“三方三圓”的占卜圖式，繼而詳細介紹該圖式的要素，再以“故百體之癰，其瘳與死各有數”一句回到“數”應用於疾病占卜的議題，最後陳起通過命名“三方三圓”與總結“四卦”來升華在“三方三圓”的占卜圖式中運數的普世性意義，如此便回應了其在該次問答中的總觀點：“天下之物，无不用數者”。可見，該段“三方三圓”的介紹並不獨立於陳起關於疾病有數的闡述。</w:t>
      </w:r>
    </w:p>
    <w:p w14:paraId="394728D0"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據簡文的分析來看，陳起介紹了“三方三圓”體系的要素，但對於方與圓之間以及大中小三層方圓之間的數理或幾何關係並未有任何直接揭示，因此，從數理幾何的角度解讀“三方三圓”顯然已經超出了《陳起》篇文本的敘事範圍。此外，分析“三方三圓”相關簡文的文本內容和結構可知，簡文中並無足夠證據表明“三方三</w:t>
      </w:r>
      <w:r w:rsidRPr="00AD0A42">
        <w:rPr>
          <w:rFonts w:hint="eastAsia"/>
          <w:sz w:val="28"/>
          <w:szCs w:val="28"/>
          <w:lang w:eastAsia="zh-TW"/>
        </w:rPr>
        <w:lastRenderedPageBreak/>
        <w:t>圓”體系與“七衡六間圖”中的兩分兩至日日道之間存在關聯。實際上，以《周髀算經》中“七衡六間”的日道解釋“三方三圓”體系僅僅考慮到了其中的“天圓三重”而缺失對“地方三重”的解釋。因此，《周髀算經》中“七衡六間”的日道模型也並不構成對“三方三圓”體系的足夠解釋。</w:t>
      </w:r>
    </w:p>
    <w:p w14:paraId="79F573D9"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綜合以上分析，本文認爲《陳起》篇所言“三方三圓”的圖式於《陳起》篇文本中是一套實施推演、預測的術數運作圖式，即占卜圖式，而非任何數理幾何意義的宇宙結構或天文模型。</w:t>
      </w:r>
    </w:p>
    <w:p w14:paraId="586A4630" w14:textId="77777777" w:rsidR="00AD0A42" w:rsidRPr="00AD0A42" w:rsidRDefault="00AD0A42" w:rsidP="00AD0A42">
      <w:pPr>
        <w:spacing w:line="360" w:lineRule="auto"/>
        <w:jc w:val="left"/>
        <w:rPr>
          <w:rFonts w:hint="eastAsia"/>
          <w:sz w:val="28"/>
          <w:szCs w:val="28"/>
          <w:lang w:eastAsia="zh-TW"/>
        </w:rPr>
      </w:pPr>
    </w:p>
    <w:p w14:paraId="0013911C" w14:textId="77777777" w:rsidR="00AD0A42" w:rsidRDefault="00AD0A42" w:rsidP="00AD0A42">
      <w:pPr>
        <w:spacing w:line="360" w:lineRule="auto"/>
        <w:jc w:val="left"/>
        <w:rPr>
          <w:rFonts w:ascii="黑体" w:eastAsia="黑体" w:hAnsi="黑体" w:cs="黑体" w:hint="eastAsia"/>
          <w:sz w:val="28"/>
          <w:szCs w:val="28"/>
          <w:lang w:eastAsia="zh-TW"/>
        </w:rPr>
      </w:pPr>
      <w:r w:rsidRPr="00AD0A42">
        <w:rPr>
          <w:rFonts w:ascii="黑体" w:eastAsia="黑体" w:hAnsi="黑体" w:cs="黑体" w:hint="eastAsia"/>
          <w:sz w:val="28"/>
          <w:szCs w:val="28"/>
          <w:lang w:eastAsia="zh-TW"/>
        </w:rPr>
        <w:t>二、“三方三圓”的圖式復原與命名釋義</w:t>
      </w:r>
    </w:p>
    <w:p w14:paraId="5E6620CE" w14:textId="77777777" w:rsidR="00AD0A42" w:rsidRPr="00AD0A42" w:rsidRDefault="00AD0A42" w:rsidP="00AD0A42">
      <w:pPr>
        <w:spacing w:line="360" w:lineRule="auto"/>
        <w:jc w:val="left"/>
        <w:rPr>
          <w:rFonts w:ascii="黑体" w:eastAsia="黑体" w:hAnsi="黑体" w:cs="黑体" w:hint="eastAsia"/>
          <w:sz w:val="28"/>
          <w:szCs w:val="28"/>
          <w:lang w:eastAsia="zh-TW"/>
        </w:rPr>
      </w:pPr>
    </w:p>
    <w:p w14:paraId="09B28158"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根據上文“三方三圓”爲占卜圖式的推斷，結合“三方三圓”的大、中、小嵌套關係以及簡文對“三方三圓”體系中十二辰、十日、廿八宿等要素的描述，不難將“三方三圓”聯繫到流行於戰國秦漢時期同樣具有圓方、十二辰、十日等要素的占卜式盤（如下圖3所示秦代式圖與圖4至7所示的出土漢代式盤圖式）。</w:t>
      </w:r>
      <w:r w:rsidRPr="00AD0A42">
        <w:rPr>
          <w:rStyle w:val="a6"/>
          <w:rFonts w:hint="eastAsia"/>
          <w:sz w:val="28"/>
          <w:szCs w:val="28"/>
        </w:rPr>
        <w:footnoteReference w:id="13"/>
      </w:r>
    </w:p>
    <w:p w14:paraId="2018B9DB" w14:textId="628F70EF" w:rsidR="00AD0A42" w:rsidRPr="00AD0A42" w:rsidRDefault="00AD0A42" w:rsidP="00AD0A42">
      <w:pPr>
        <w:jc w:val="center"/>
        <w:rPr>
          <w:rFonts w:hint="eastAsia"/>
          <w:sz w:val="28"/>
          <w:szCs w:val="28"/>
        </w:rPr>
      </w:pPr>
      <w:r w:rsidRPr="00AD0A42">
        <w:rPr>
          <w:noProof/>
          <w:sz w:val="28"/>
          <w:szCs w:val="28"/>
        </w:rPr>
        <w:lastRenderedPageBreak/>
        <w:drawing>
          <wp:inline distT="0" distB="0" distL="0" distR="0" wp14:anchorId="6791892A" wp14:editId="4FE014EC">
            <wp:extent cx="4511040" cy="4381500"/>
            <wp:effectExtent l="0" t="0" r="3810" b="0"/>
            <wp:docPr id="77521451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1040" cy="4381500"/>
                    </a:xfrm>
                    <a:prstGeom prst="rect">
                      <a:avLst/>
                    </a:prstGeom>
                    <a:noFill/>
                    <a:ln>
                      <a:noFill/>
                    </a:ln>
                    <a:effectLst/>
                  </pic:spPr>
                </pic:pic>
              </a:graphicData>
            </a:graphic>
          </wp:inline>
        </w:drawing>
      </w:r>
    </w:p>
    <w:p w14:paraId="383D4A6A" w14:textId="33891FCE" w:rsidR="00AD0A42" w:rsidRPr="00532710" w:rsidRDefault="00AD0A42" w:rsidP="00532710">
      <w:pPr>
        <w:pStyle w:val="af2"/>
        <w:spacing w:before="540" w:after="540"/>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t>圖</w:t>
      </w:r>
      <w:r w:rsidRPr="00AD0A42">
        <w:rPr>
          <w:rFonts w:ascii="宋体" w:eastAsia="宋体" w:hAnsi="宋体"/>
          <w:sz w:val="24"/>
          <w:szCs w:val="24"/>
          <w:lang w:eastAsia="zh-TW"/>
        </w:rPr>
        <w:t xml:space="preserve"> </w:t>
      </w:r>
      <w:r w:rsidRPr="00AD0A42">
        <w:rPr>
          <w:rFonts w:ascii="宋体" w:eastAsia="宋体" w:hAnsi="宋体" w:hint="eastAsia"/>
          <w:sz w:val="24"/>
          <w:szCs w:val="24"/>
          <w:lang w:eastAsia="zh-TW"/>
        </w:rPr>
        <w:t>3   周家臺秦簡日書《繫行》（《二十八星宿占》）圖釋</w:t>
      </w:r>
      <w:r w:rsidRPr="00AD0A42">
        <w:rPr>
          <w:rStyle w:val="a6"/>
          <w:rFonts w:ascii="宋体" w:eastAsia="宋体" w:hAnsi="宋体" w:hint="eastAsia"/>
          <w:sz w:val="24"/>
          <w:szCs w:val="24"/>
        </w:rPr>
        <w:footnoteReference w:id="14"/>
      </w:r>
    </w:p>
    <w:p w14:paraId="225CA6BE" w14:textId="2E4B1EB0" w:rsidR="00AD0A42" w:rsidRPr="00AD0A42" w:rsidRDefault="00AD0A42" w:rsidP="00AD0A42">
      <w:pPr>
        <w:jc w:val="center"/>
        <w:rPr>
          <w:rFonts w:hint="eastAsia"/>
          <w:sz w:val="28"/>
          <w:szCs w:val="28"/>
        </w:rPr>
      </w:pPr>
      <w:r w:rsidRPr="00AD0A42">
        <w:rPr>
          <w:noProof/>
          <w:sz w:val="28"/>
          <w:szCs w:val="28"/>
        </w:rPr>
        <w:lastRenderedPageBreak/>
        <w:drawing>
          <wp:inline distT="0" distB="0" distL="0" distR="0" wp14:anchorId="5547F27D" wp14:editId="7A79D0C5">
            <wp:extent cx="5387340" cy="7376160"/>
            <wp:effectExtent l="0" t="0" r="3810" b="0"/>
            <wp:docPr id="61074419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7340" cy="7376160"/>
                    </a:xfrm>
                    <a:prstGeom prst="rect">
                      <a:avLst/>
                    </a:prstGeom>
                    <a:noFill/>
                    <a:ln>
                      <a:noFill/>
                    </a:ln>
                    <a:effectLst/>
                  </pic:spPr>
                </pic:pic>
              </a:graphicData>
            </a:graphic>
          </wp:inline>
        </w:drawing>
      </w:r>
    </w:p>
    <w:p w14:paraId="57757F85" w14:textId="77777777" w:rsidR="00AD0A42" w:rsidRPr="00AD0A42" w:rsidRDefault="00AD0A42" w:rsidP="00AD0A42">
      <w:pPr>
        <w:pStyle w:val="af2"/>
        <w:spacing w:before="540" w:after="540"/>
        <w:ind w:firstLine="496"/>
        <w:jc w:val="center"/>
        <w:rPr>
          <w:rFonts w:ascii="宋体" w:eastAsia="宋体" w:hAnsi="宋体" w:hint="eastAsia"/>
          <w:sz w:val="24"/>
          <w:szCs w:val="24"/>
          <w:lang w:eastAsia="zh-TW"/>
        </w:rPr>
      </w:pPr>
      <w:r w:rsidRPr="00AD0A42">
        <w:rPr>
          <w:rFonts w:ascii="宋体" w:eastAsia="宋体" w:hAnsi="宋体"/>
          <w:sz w:val="24"/>
          <w:szCs w:val="24"/>
          <w:lang w:eastAsia="zh-TW"/>
        </w:rPr>
        <w:lastRenderedPageBreak/>
        <w:t xml:space="preserve">图 </w:t>
      </w:r>
      <w:r w:rsidRPr="00AD0A42">
        <w:rPr>
          <w:rFonts w:ascii="宋体" w:eastAsia="宋体" w:hAnsi="宋体" w:hint="eastAsia"/>
          <w:sz w:val="24"/>
          <w:szCs w:val="24"/>
          <w:lang w:eastAsia="zh-TW"/>
        </w:rPr>
        <w:t>4   漆木式（西漢初）</w:t>
      </w:r>
      <w:r w:rsidRPr="00AD0A42">
        <w:rPr>
          <w:rStyle w:val="a6"/>
          <w:rFonts w:ascii="宋体" w:eastAsia="宋体" w:hAnsi="宋体" w:hint="eastAsia"/>
          <w:sz w:val="24"/>
          <w:szCs w:val="24"/>
        </w:rPr>
        <w:footnoteReference w:id="15"/>
      </w:r>
    </w:p>
    <w:p w14:paraId="51A9E982" w14:textId="77777777" w:rsidR="00AD0A42" w:rsidRPr="00AD0A42" w:rsidRDefault="00AD0A42" w:rsidP="00AD0A42">
      <w:pPr>
        <w:pStyle w:val="af2"/>
        <w:spacing w:before="540" w:after="540" w:line="360" w:lineRule="auto"/>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t>安徽阜陽雙古堆漢墓M1出土</w:t>
      </w:r>
    </w:p>
    <w:p w14:paraId="27A59DB0" w14:textId="0167B5CB" w:rsidR="00AD0A42" w:rsidRPr="00BC1E6F" w:rsidRDefault="00AD0A42" w:rsidP="00BC1E6F">
      <w:pPr>
        <w:jc w:val="center"/>
        <w:rPr>
          <w:rFonts w:cs="宋体" w:hint="eastAsia"/>
          <w:szCs w:val="24"/>
        </w:rPr>
      </w:pPr>
      <w:r w:rsidRPr="00AD0A42">
        <w:rPr>
          <w:rFonts w:cs="宋体" w:hint="eastAsia"/>
          <w:szCs w:val="24"/>
          <w:lang w:eastAsia="zh-TW"/>
        </w:rPr>
        <w:t>1.天盤  2.地盤正面  3.地盤背面</w:t>
      </w:r>
    </w:p>
    <w:p w14:paraId="179F2F00" w14:textId="1128E0D9" w:rsidR="00AD0A42" w:rsidRPr="00AD0A42" w:rsidRDefault="00AD0A42" w:rsidP="00AD0A42">
      <w:pPr>
        <w:spacing w:line="360" w:lineRule="auto"/>
        <w:jc w:val="center"/>
        <w:rPr>
          <w:rFonts w:hint="eastAsia"/>
          <w:sz w:val="28"/>
          <w:szCs w:val="28"/>
        </w:rPr>
      </w:pPr>
      <w:r w:rsidRPr="00AD0A42">
        <w:rPr>
          <w:noProof/>
          <w:sz w:val="28"/>
          <w:szCs w:val="28"/>
        </w:rPr>
        <w:lastRenderedPageBreak/>
        <w:drawing>
          <wp:inline distT="0" distB="0" distL="0" distR="0" wp14:anchorId="442E8445" wp14:editId="4D9CBDC4">
            <wp:extent cx="5547360" cy="7810500"/>
            <wp:effectExtent l="0" t="0" r="0" b="0"/>
            <wp:docPr id="46137626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a:extLst>
                        <a:ext uri="{28A0092B-C50C-407E-A947-70E740481C1C}">
                          <a14:useLocalDpi xmlns:a14="http://schemas.microsoft.com/office/drawing/2010/main" val="0"/>
                        </a:ext>
                      </a:extLst>
                    </a:blip>
                    <a:srcRect l="2376"/>
                    <a:stretch>
                      <a:fillRect/>
                    </a:stretch>
                  </pic:blipFill>
                  <pic:spPr bwMode="auto">
                    <a:xfrm>
                      <a:off x="0" y="0"/>
                      <a:ext cx="5547360" cy="7810500"/>
                    </a:xfrm>
                    <a:prstGeom prst="rect">
                      <a:avLst/>
                    </a:prstGeom>
                    <a:noFill/>
                    <a:ln>
                      <a:noFill/>
                    </a:ln>
                    <a:effectLst/>
                  </pic:spPr>
                </pic:pic>
              </a:graphicData>
            </a:graphic>
          </wp:inline>
        </w:drawing>
      </w:r>
    </w:p>
    <w:p w14:paraId="50DAC01B" w14:textId="77777777" w:rsidR="00AD0A42" w:rsidRPr="00AD0A42" w:rsidRDefault="00AD0A42" w:rsidP="00AD0A42">
      <w:pPr>
        <w:pStyle w:val="af2"/>
        <w:spacing w:before="540" w:after="540" w:line="360" w:lineRule="auto"/>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lastRenderedPageBreak/>
        <w:t>圖</w:t>
      </w:r>
      <w:r w:rsidRPr="00AD0A42">
        <w:rPr>
          <w:rFonts w:ascii="宋体" w:eastAsia="宋体" w:hAnsi="宋体"/>
          <w:sz w:val="24"/>
          <w:szCs w:val="24"/>
          <w:lang w:eastAsia="zh-TW"/>
        </w:rPr>
        <w:t xml:space="preserve"> </w:t>
      </w:r>
      <w:r w:rsidRPr="00AD0A42">
        <w:rPr>
          <w:rFonts w:ascii="宋体" w:eastAsia="宋体" w:hAnsi="宋体" w:hint="eastAsia"/>
          <w:sz w:val="24"/>
          <w:szCs w:val="24"/>
          <w:lang w:eastAsia="zh-TW"/>
        </w:rPr>
        <w:t>5  漆木式（西漢初）</w:t>
      </w:r>
      <w:r w:rsidRPr="00AD0A42">
        <w:rPr>
          <w:rStyle w:val="a6"/>
          <w:rFonts w:ascii="宋体" w:eastAsia="宋体" w:hAnsi="宋体" w:hint="eastAsia"/>
          <w:sz w:val="24"/>
          <w:szCs w:val="24"/>
        </w:rPr>
        <w:footnoteReference w:id="16"/>
      </w:r>
    </w:p>
    <w:p w14:paraId="7308B2FB" w14:textId="77777777" w:rsidR="00AD0A42" w:rsidRPr="00AD0A42" w:rsidRDefault="00AD0A42" w:rsidP="00AD0A42">
      <w:pPr>
        <w:pStyle w:val="af2"/>
        <w:spacing w:before="540" w:after="540" w:line="360" w:lineRule="auto"/>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t>安徽阜陽雙古堆漢墓M1出土</w:t>
      </w:r>
    </w:p>
    <w:p w14:paraId="2FC74BF5" w14:textId="77777777" w:rsidR="00AD0A42" w:rsidRPr="00AD0A42" w:rsidRDefault="00AD0A42" w:rsidP="00AD0A42">
      <w:pPr>
        <w:jc w:val="center"/>
        <w:rPr>
          <w:rFonts w:cs="宋体" w:hint="eastAsia"/>
          <w:szCs w:val="24"/>
        </w:rPr>
      </w:pPr>
      <w:r w:rsidRPr="00AD0A42">
        <w:rPr>
          <w:rFonts w:cs="宋体" w:hint="eastAsia"/>
          <w:szCs w:val="24"/>
        </w:rPr>
        <w:t>1.</w:t>
      </w:r>
      <w:proofErr w:type="gramStart"/>
      <w:r w:rsidRPr="00AD0A42">
        <w:rPr>
          <w:rFonts w:cs="宋体" w:hint="eastAsia"/>
          <w:szCs w:val="24"/>
        </w:rPr>
        <w:t>天盤正面  2</w:t>
      </w:r>
      <w:proofErr w:type="gramEnd"/>
      <w:r w:rsidRPr="00AD0A42">
        <w:rPr>
          <w:rFonts w:cs="宋体" w:hint="eastAsia"/>
          <w:szCs w:val="24"/>
        </w:rPr>
        <w:t>.天</w:t>
      </w:r>
      <w:proofErr w:type="gramStart"/>
      <w:r w:rsidRPr="00AD0A42">
        <w:rPr>
          <w:rFonts w:cs="宋体" w:hint="eastAsia"/>
          <w:szCs w:val="24"/>
        </w:rPr>
        <w:t>盤</w:t>
      </w:r>
      <w:proofErr w:type="gramEnd"/>
      <w:r w:rsidRPr="00AD0A42">
        <w:rPr>
          <w:rFonts w:cs="宋体" w:hint="eastAsia"/>
          <w:szCs w:val="24"/>
        </w:rPr>
        <w:t>背面</w:t>
      </w:r>
    </w:p>
    <w:p w14:paraId="0BB9CAC0" w14:textId="77777777" w:rsidR="00AD0A42" w:rsidRPr="00AD0A42" w:rsidRDefault="00AD0A42" w:rsidP="00AD0A42">
      <w:pPr>
        <w:rPr>
          <w:rFonts w:hint="eastAsia"/>
          <w:sz w:val="28"/>
          <w:szCs w:val="28"/>
        </w:rPr>
      </w:pPr>
    </w:p>
    <w:p w14:paraId="71A3EBEF" w14:textId="150A3B8E" w:rsidR="00AD0A42" w:rsidRPr="00AD0A42" w:rsidRDefault="00AD0A42" w:rsidP="00BC1E6F">
      <w:pPr>
        <w:ind w:firstLineChars="100" w:firstLine="280"/>
        <w:rPr>
          <w:rFonts w:hint="eastAsia"/>
          <w:sz w:val="28"/>
          <w:szCs w:val="28"/>
        </w:rPr>
      </w:pPr>
      <w:r w:rsidRPr="00AD0A42">
        <w:rPr>
          <w:noProof/>
          <w:sz w:val="28"/>
          <w:szCs w:val="28"/>
        </w:rPr>
        <w:drawing>
          <wp:inline distT="0" distB="0" distL="0" distR="0" wp14:anchorId="47952342" wp14:editId="7D00715F">
            <wp:extent cx="4975860" cy="4998720"/>
            <wp:effectExtent l="0" t="0" r="0" b="0"/>
            <wp:docPr id="6987330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5860" cy="4998720"/>
                    </a:xfrm>
                    <a:prstGeom prst="rect">
                      <a:avLst/>
                    </a:prstGeom>
                    <a:noFill/>
                    <a:ln>
                      <a:noFill/>
                    </a:ln>
                    <a:effectLst/>
                  </pic:spPr>
                </pic:pic>
              </a:graphicData>
            </a:graphic>
          </wp:inline>
        </w:drawing>
      </w:r>
    </w:p>
    <w:p w14:paraId="389F14E7" w14:textId="77777777" w:rsidR="00AD0A42" w:rsidRPr="00AD0A42" w:rsidRDefault="00AD0A42" w:rsidP="00AD0A42">
      <w:pPr>
        <w:pStyle w:val="af2"/>
        <w:spacing w:before="540" w:after="540"/>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lastRenderedPageBreak/>
        <w:t>圖</w:t>
      </w:r>
      <w:r w:rsidRPr="00AD0A42">
        <w:rPr>
          <w:rFonts w:ascii="宋体" w:eastAsia="宋体" w:hAnsi="宋体"/>
          <w:sz w:val="24"/>
          <w:szCs w:val="24"/>
          <w:lang w:eastAsia="zh-TW"/>
        </w:rPr>
        <w:t xml:space="preserve"> </w:t>
      </w:r>
      <w:r w:rsidRPr="00AD0A42">
        <w:rPr>
          <w:rFonts w:ascii="宋体" w:eastAsia="宋体" w:hAnsi="宋体" w:hint="eastAsia"/>
          <w:sz w:val="24"/>
          <w:szCs w:val="24"/>
          <w:lang w:eastAsia="zh-TW"/>
        </w:rPr>
        <w:t>6  漆木式（西漢末）</w:t>
      </w:r>
      <w:r w:rsidRPr="00AD0A42">
        <w:rPr>
          <w:rStyle w:val="a6"/>
          <w:rFonts w:ascii="宋体" w:eastAsia="宋体" w:hAnsi="宋体" w:hint="eastAsia"/>
          <w:sz w:val="24"/>
          <w:szCs w:val="24"/>
        </w:rPr>
        <w:footnoteReference w:id="17"/>
      </w:r>
    </w:p>
    <w:p w14:paraId="49F1BD1B" w14:textId="77777777" w:rsidR="00AD0A42" w:rsidRPr="00AD0A42" w:rsidRDefault="00AD0A42" w:rsidP="00AD0A42">
      <w:pPr>
        <w:pStyle w:val="af2"/>
        <w:spacing w:before="540" w:after="540"/>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t>甘肅武威磨咀字M62出土</w:t>
      </w:r>
    </w:p>
    <w:p w14:paraId="59F090D2" w14:textId="77777777" w:rsidR="00AD0A42" w:rsidRPr="00AD0A42" w:rsidRDefault="00AD0A42" w:rsidP="00AD0A42">
      <w:pPr>
        <w:pStyle w:val="af2"/>
        <w:spacing w:before="540" w:after="540"/>
        <w:ind w:firstLine="496"/>
        <w:rPr>
          <w:sz w:val="28"/>
          <w:szCs w:val="28"/>
          <w:lang w:eastAsia="zh-TW"/>
        </w:rPr>
      </w:pPr>
    </w:p>
    <w:p w14:paraId="7CF0A439" w14:textId="73C6688B" w:rsidR="00AD0A42" w:rsidRPr="00AD0A42" w:rsidRDefault="00AD0A42" w:rsidP="00AD0A42">
      <w:pPr>
        <w:pStyle w:val="af2"/>
        <w:spacing w:before="540" w:after="540"/>
        <w:ind w:firstLine="480"/>
        <w:jc w:val="center"/>
        <w:rPr>
          <w:sz w:val="28"/>
          <w:szCs w:val="28"/>
        </w:rPr>
      </w:pPr>
      <w:r w:rsidRPr="00AD0A42">
        <w:rPr>
          <w:noProof/>
          <w:sz w:val="28"/>
          <w:szCs w:val="28"/>
        </w:rPr>
        <w:drawing>
          <wp:inline distT="0" distB="0" distL="0" distR="0" wp14:anchorId="3F766CCC" wp14:editId="4C8DB786">
            <wp:extent cx="5288280" cy="5151120"/>
            <wp:effectExtent l="0" t="0" r="7620" b="0"/>
            <wp:docPr id="203528938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8280" cy="5151120"/>
                    </a:xfrm>
                    <a:prstGeom prst="rect">
                      <a:avLst/>
                    </a:prstGeom>
                    <a:noFill/>
                    <a:ln>
                      <a:noFill/>
                    </a:ln>
                    <a:effectLst/>
                  </pic:spPr>
                </pic:pic>
              </a:graphicData>
            </a:graphic>
          </wp:inline>
        </w:drawing>
      </w:r>
    </w:p>
    <w:p w14:paraId="36D91A0A" w14:textId="77777777" w:rsidR="00AD0A42" w:rsidRPr="00AD0A42" w:rsidRDefault="00AD0A42" w:rsidP="00AD0A42">
      <w:pPr>
        <w:pStyle w:val="af2"/>
        <w:spacing w:before="540" w:after="540"/>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t>圖</w:t>
      </w:r>
      <w:r w:rsidRPr="00AD0A42">
        <w:rPr>
          <w:rFonts w:ascii="宋体" w:eastAsia="宋体" w:hAnsi="宋体"/>
          <w:sz w:val="24"/>
          <w:szCs w:val="24"/>
          <w:lang w:eastAsia="zh-TW"/>
        </w:rPr>
        <w:t xml:space="preserve"> </w:t>
      </w:r>
      <w:r w:rsidRPr="00AD0A42">
        <w:rPr>
          <w:rFonts w:ascii="宋体" w:eastAsia="宋体" w:hAnsi="宋体" w:hint="eastAsia"/>
          <w:sz w:val="24"/>
          <w:szCs w:val="24"/>
          <w:lang w:eastAsia="zh-TW"/>
        </w:rPr>
        <w:t>7   漆木式（東漢初）</w:t>
      </w:r>
      <w:r w:rsidRPr="00AD0A42">
        <w:rPr>
          <w:rStyle w:val="a6"/>
          <w:rFonts w:ascii="宋体" w:eastAsia="宋体" w:hAnsi="宋体" w:hint="eastAsia"/>
          <w:sz w:val="24"/>
          <w:szCs w:val="24"/>
        </w:rPr>
        <w:footnoteReference w:id="18"/>
      </w:r>
    </w:p>
    <w:p w14:paraId="41C8CADF" w14:textId="77777777" w:rsidR="00AD0A42" w:rsidRPr="00AD0A42" w:rsidRDefault="00AD0A42" w:rsidP="00AD0A42">
      <w:pPr>
        <w:pStyle w:val="af2"/>
        <w:spacing w:before="540" w:after="540"/>
        <w:ind w:firstLine="496"/>
        <w:jc w:val="center"/>
        <w:rPr>
          <w:rFonts w:ascii="宋体" w:eastAsia="宋体" w:hAnsi="宋体" w:hint="eastAsia"/>
          <w:sz w:val="24"/>
          <w:szCs w:val="24"/>
          <w:lang w:eastAsia="zh-TW"/>
        </w:rPr>
      </w:pPr>
      <w:r w:rsidRPr="00AD0A42">
        <w:rPr>
          <w:rFonts w:ascii="宋体" w:eastAsia="宋体" w:hAnsi="宋体" w:hint="eastAsia"/>
          <w:sz w:val="24"/>
          <w:szCs w:val="24"/>
          <w:lang w:eastAsia="zh-TW"/>
        </w:rPr>
        <w:lastRenderedPageBreak/>
        <w:t>朝鮮樂浪遺址王盱墓出土</w:t>
      </w:r>
    </w:p>
    <w:p w14:paraId="4F1BB3AA"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從以上出土式盤的圖式來看，一般包含有十二辰、十日、廿八宿等要素，漢代式盤也有數層的方圓嵌套構圖。結合《陳起》對於“三方三圓”體系的結構與要素來看，陳起所描述的“三方三圓”占卜圖式與秦漢式盤圖式應有所淵源。復原《陳起》篇中的“三方三圓”圖式，應當對以上圖式有所參考。對此，根據以上秦漢時代的式盤圖式的實物資料可以得到兩點啟示。其一，“三方三圓”並非是方圓交錯嵌套的形製，而更可能是俯視視角上外方內圓、方圓分立的圖式形製。這是因爲以圓方來“法天地”時，占卜者往往需要進行“旋式正棋”的操作，</w:t>
      </w:r>
      <w:r w:rsidRPr="00AD0A42">
        <w:rPr>
          <w:rStyle w:val="a6"/>
          <w:rFonts w:hint="eastAsia"/>
          <w:sz w:val="28"/>
          <w:szCs w:val="28"/>
        </w:rPr>
        <w:footnoteReference w:id="19"/>
      </w:r>
      <w:r w:rsidRPr="00AD0A42">
        <w:rPr>
          <w:rFonts w:hint="eastAsia"/>
          <w:sz w:val="28"/>
          <w:szCs w:val="28"/>
          <w:lang w:eastAsia="zh-TW"/>
        </w:rPr>
        <w:t>這決定了方圓之間是分立的而非交錯嵌套的。其二，雖然漢代出土式盤多見以斗勺（北斗）爲天盤中心，但秦代周家臺日書的《繫行》（《二十八星宿占》）圖（圖3）以及西漢初雙古堆漢墓M1所出土的其中一種圖式（圖4）表明，在較早的式圖中，圓心之內也未必是斗勺（北斗七星）符號，也可能是某種“繩類”圖，如繩維圖（圖3）、鈎繩圖（圖4），</w:t>
      </w:r>
      <w:r w:rsidRPr="00AD0A42">
        <w:rPr>
          <w:rStyle w:val="a6"/>
          <w:rFonts w:hint="eastAsia"/>
          <w:sz w:val="28"/>
          <w:szCs w:val="28"/>
        </w:rPr>
        <w:footnoteReference w:id="20"/>
      </w:r>
      <w:r w:rsidRPr="00AD0A42">
        <w:rPr>
          <w:rFonts w:hint="eastAsia"/>
          <w:sz w:val="28"/>
          <w:szCs w:val="28"/>
          <w:lang w:eastAsia="zh-TW"/>
        </w:rPr>
        <w:t>這一點結合</w:t>
      </w:r>
      <w:r w:rsidRPr="00AD0A42">
        <w:rPr>
          <w:rFonts w:hint="eastAsia"/>
          <w:sz w:val="28"/>
          <w:szCs w:val="28"/>
          <w:lang w:eastAsia="zh-TW"/>
        </w:rPr>
        <w:lastRenderedPageBreak/>
        <w:t>《陳起》篇描述“三方三圓”要素並無提及北斗來看，提示了從戰國至秦再至漢，式圖可能存在一個演進和時人精神信仰變化的過程，而在這個變化過程中，斗勺逐漸成爲一個重要的元素。</w:t>
      </w:r>
    </w:p>
    <w:p w14:paraId="74C854C0"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立足於《陳起》簡文關於“三方三圓”的描述，並參考以上出土式盤圖式方圓嵌套形製與十二律、十二時、十日、廿八宿等要素的方位布列，同時參考《呂氏春秋》十二紀、《淮南子·時則訓》、《禮記·月令》等重要傳世文獻中所記五音與方位/十日的對應關係，依今人“上北下南、左西右東”的方位認知習慣，擬將《陳起》篇“三方三圓”體系的占卜圖式作如下復原（圖8），並對“三方三圓”的命名含義進行討論。需要加以說明的是，根據以下表1，不同文獻對於五音與五方/十日的配伍存在差異。鑒於本文並不旨在討論這些差異和五音的方位排佈細節及其依據，而是關注“三方三圓”的命名內涵和各層要素之間的關係，因此，本文以下徑直採用主要傳世文獻的配伍方案來復原“三方三圓”的五音方位排佈。</w:t>
      </w:r>
    </w:p>
    <w:p w14:paraId="44683B57" w14:textId="77777777" w:rsidR="00AD0A42" w:rsidRPr="00AD0A42" w:rsidRDefault="00AD0A42" w:rsidP="00AD0A42">
      <w:pPr>
        <w:pStyle w:val="af2"/>
        <w:spacing w:before="540" w:after="540"/>
        <w:ind w:firstLine="496"/>
        <w:jc w:val="center"/>
        <w:rPr>
          <w:rFonts w:eastAsia="宋体"/>
          <w:sz w:val="24"/>
          <w:szCs w:val="24"/>
          <w:lang w:eastAsia="zh-TW"/>
        </w:rPr>
      </w:pPr>
      <w:r w:rsidRPr="00AD0A42">
        <w:rPr>
          <w:sz w:val="24"/>
          <w:szCs w:val="24"/>
          <w:lang w:eastAsia="zh-TW"/>
        </w:rPr>
        <w:t>表</w:t>
      </w:r>
      <w:r w:rsidRPr="00AD0A42">
        <w:rPr>
          <w:sz w:val="24"/>
          <w:szCs w:val="24"/>
          <w:lang w:eastAsia="zh-TW"/>
        </w:rPr>
        <w:t xml:space="preserve"> </w:t>
      </w:r>
      <w:r w:rsidRPr="00AD0A42">
        <w:rPr>
          <w:sz w:val="24"/>
          <w:szCs w:val="24"/>
        </w:rPr>
        <w:fldChar w:fldCharType="begin"/>
      </w:r>
      <w:r w:rsidRPr="00AD0A42">
        <w:rPr>
          <w:sz w:val="24"/>
          <w:szCs w:val="24"/>
          <w:lang w:eastAsia="zh-TW"/>
        </w:rPr>
        <w:instrText xml:space="preserve"> SEQ </w:instrText>
      </w:r>
      <w:r w:rsidRPr="00AD0A42">
        <w:rPr>
          <w:sz w:val="24"/>
          <w:szCs w:val="24"/>
          <w:lang w:eastAsia="zh-TW"/>
        </w:rPr>
        <w:instrText>表</w:instrText>
      </w:r>
      <w:r w:rsidRPr="00AD0A42">
        <w:rPr>
          <w:sz w:val="24"/>
          <w:szCs w:val="24"/>
          <w:lang w:eastAsia="zh-TW"/>
        </w:rPr>
        <w:instrText xml:space="preserve"> \* ARABIC </w:instrText>
      </w:r>
      <w:r w:rsidRPr="00AD0A42">
        <w:rPr>
          <w:sz w:val="24"/>
          <w:szCs w:val="24"/>
        </w:rPr>
        <w:fldChar w:fldCharType="separate"/>
      </w:r>
      <w:r w:rsidRPr="00AD0A42">
        <w:rPr>
          <w:sz w:val="24"/>
          <w:szCs w:val="24"/>
          <w:lang w:eastAsia="zh-TW"/>
        </w:rPr>
        <w:t>1</w:t>
      </w:r>
      <w:r w:rsidRPr="00AD0A42">
        <w:rPr>
          <w:sz w:val="24"/>
          <w:szCs w:val="24"/>
        </w:rPr>
        <w:fldChar w:fldCharType="end"/>
      </w:r>
      <w:r w:rsidRPr="00AD0A42">
        <w:rPr>
          <w:rFonts w:hint="eastAsia"/>
          <w:sz w:val="24"/>
          <w:szCs w:val="24"/>
          <w:lang w:eastAsia="zh-TW"/>
        </w:rPr>
        <w:t xml:space="preserve">   </w:t>
      </w:r>
      <w:r w:rsidRPr="00AD0A42">
        <w:rPr>
          <w:rFonts w:hint="eastAsia"/>
          <w:sz w:val="24"/>
          <w:szCs w:val="24"/>
          <w:lang w:eastAsia="zh-TW"/>
        </w:rPr>
        <w:t>不同文獻所記五音與五方</w:t>
      </w:r>
      <w:r w:rsidRPr="00AD0A42">
        <w:rPr>
          <w:rFonts w:hint="eastAsia"/>
          <w:sz w:val="24"/>
          <w:szCs w:val="24"/>
          <w:lang w:eastAsia="zh-TW"/>
        </w:rPr>
        <w:t>/</w:t>
      </w:r>
      <w:r w:rsidRPr="00AD0A42">
        <w:rPr>
          <w:rFonts w:hint="eastAsia"/>
          <w:sz w:val="24"/>
          <w:szCs w:val="24"/>
          <w:lang w:eastAsia="zh-TW"/>
        </w:rPr>
        <w:t>十日的對應關係</w:t>
      </w:r>
    </w:p>
    <w:tbl>
      <w:tblPr>
        <w:tblW w:w="8577" w:type="dxa"/>
        <w:jc w:val="center"/>
        <w:tblLayout w:type="fixed"/>
        <w:tblLook w:val="0000" w:firstRow="0" w:lastRow="0" w:firstColumn="0" w:lastColumn="0" w:noHBand="0" w:noVBand="0"/>
      </w:tblPr>
      <w:tblGrid>
        <w:gridCol w:w="2655"/>
        <w:gridCol w:w="1184"/>
        <w:gridCol w:w="1184"/>
        <w:gridCol w:w="1184"/>
        <w:gridCol w:w="1184"/>
        <w:gridCol w:w="1186"/>
      </w:tblGrid>
      <w:tr w:rsidR="00AD0A42" w:rsidRPr="00AD0A42" w14:paraId="16F3911A"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6DB96087"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lastRenderedPageBreak/>
              <w:t>五方/十日</w:t>
            </w:r>
          </w:p>
        </w:tc>
        <w:tc>
          <w:tcPr>
            <w:tcW w:w="1184" w:type="dxa"/>
            <w:tcBorders>
              <w:top w:val="single" w:sz="4" w:space="0" w:color="auto"/>
              <w:left w:val="single" w:sz="4" w:space="0" w:color="auto"/>
              <w:bottom w:val="single" w:sz="4" w:space="0" w:color="auto"/>
              <w:right w:val="single" w:sz="4" w:space="0" w:color="auto"/>
            </w:tcBorders>
            <w:noWrap/>
            <w:vAlign w:val="center"/>
          </w:tcPr>
          <w:p w14:paraId="7BB918C5" w14:textId="77777777" w:rsidR="00AD0A42" w:rsidRPr="00AD0A42" w:rsidRDefault="00AD0A42" w:rsidP="00E52D02">
            <w:pPr>
              <w:widowControl/>
              <w:jc w:val="center"/>
              <w:textAlignment w:val="center"/>
              <w:rPr>
                <w:rFonts w:cs="宋体" w:hint="eastAsia"/>
                <w:color w:val="000000"/>
                <w:sz w:val="28"/>
                <w:szCs w:val="28"/>
              </w:rPr>
            </w:pPr>
            <w:proofErr w:type="gramStart"/>
            <w:r w:rsidRPr="00AD0A42">
              <w:rPr>
                <w:rFonts w:cs="宋体" w:hint="eastAsia"/>
                <w:color w:val="000000"/>
                <w:kern w:val="0"/>
                <w:sz w:val="28"/>
                <w:szCs w:val="28"/>
                <w:lang w:bidi="ar"/>
              </w:rPr>
              <w:t>東</w:t>
            </w:r>
            <w:proofErr w:type="gramEnd"/>
            <w:r w:rsidRPr="00AD0A42">
              <w:rPr>
                <w:rFonts w:cs="宋体" w:hint="eastAsia"/>
                <w:color w:val="000000"/>
                <w:kern w:val="0"/>
                <w:sz w:val="28"/>
                <w:szCs w:val="28"/>
                <w:lang w:bidi="ar"/>
              </w:rPr>
              <w:t>/甲乙</w:t>
            </w:r>
          </w:p>
        </w:tc>
        <w:tc>
          <w:tcPr>
            <w:tcW w:w="1184" w:type="dxa"/>
            <w:tcBorders>
              <w:top w:val="single" w:sz="4" w:space="0" w:color="auto"/>
              <w:left w:val="single" w:sz="4" w:space="0" w:color="auto"/>
              <w:bottom w:val="single" w:sz="4" w:space="0" w:color="auto"/>
              <w:right w:val="single" w:sz="4" w:space="0" w:color="auto"/>
            </w:tcBorders>
            <w:noWrap/>
            <w:vAlign w:val="center"/>
          </w:tcPr>
          <w:p w14:paraId="06F835FB"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南/丙丁</w:t>
            </w:r>
          </w:p>
        </w:tc>
        <w:tc>
          <w:tcPr>
            <w:tcW w:w="1184" w:type="dxa"/>
            <w:tcBorders>
              <w:top w:val="single" w:sz="4" w:space="0" w:color="auto"/>
              <w:left w:val="single" w:sz="4" w:space="0" w:color="auto"/>
              <w:bottom w:val="single" w:sz="4" w:space="0" w:color="auto"/>
              <w:right w:val="single" w:sz="4" w:space="0" w:color="auto"/>
            </w:tcBorders>
            <w:noWrap/>
            <w:vAlign w:val="center"/>
          </w:tcPr>
          <w:p w14:paraId="7B3B8DC3"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中/戊己</w:t>
            </w:r>
          </w:p>
        </w:tc>
        <w:tc>
          <w:tcPr>
            <w:tcW w:w="1184" w:type="dxa"/>
            <w:tcBorders>
              <w:top w:val="single" w:sz="4" w:space="0" w:color="auto"/>
              <w:left w:val="single" w:sz="4" w:space="0" w:color="auto"/>
              <w:bottom w:val="single" w:sz="4" w:space="0" w:color="auto"/>
              <w:right w:val="single" w:sz="4" w:space="0" w:color="auto"/>
            </w:tcBorders>
            <w:noWrap/>
            <w:vAlign w:val="center"/>
          </w:tcPr>
          <w:p w14:paraId="36BA58CB"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西/庚辛</w:t>
            </w:r>
          </w:p>
        </w:tc>
        <w:tc>
          <w:tcPr>
            <w:tcW w:w="1186" w:type="dxa"/>
            <w:tcBorders>
              <w:top w:val="single" w:sz="4" w:space="0" w:color="auto"/>
              <w:left w:val="single" w:sz="4" w:space="0" w:color="auto"/>
              <w:bottom w:val="single" w:sz="4" w:space="0" w:color="auto"/>
              <w:right w:val="single" w:sz="4" w:space="0" w:color="auto"/>
            </w:tcBorders>
            <w:noWrap/>
            <w:vAlign w:val="center"/>
          </w:tcPr>
          <w:p w14:paraId="25ED2D67"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北/壬癸</w:t>
            </w:r>
          </w:p>
        </w:tc>
      </w:tr>
      <w:tr w:rsidR="00AD0A42" w:rsidRPr="00AD0A42" w14:paraId="7DFEB7D1"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19124D44"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《呂氏春秋》十二紀</w:t>
            </w:r>
          </w:p>
        </w:tc>
        <w:tc>
          <w:tcPr>
            <w:tcW w:w="1184" w:type="dxa"/>
            <w:tcBorders>
              <w:top w:val="single" w:sz="4" w:space="0" w:color="auto"/>
              <w:left w:val="single" w:sz="4" w:space="0" w:color="auto"/>
              <w:bottom w:val="single" w:sz="4" w:space="0" w:color="auto"/>
              <w:right w:val="single" w:sz="4" w:space="0" w:color="auto"/>
            </w:tcBorders>
            <w:noWrap/>
            <w:vAlign w:val="center"/>
          </w:tcPr>
          <w:p w14:paraId="6E2AF3BB"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角</w:t>
            </w:r>
          </w:p>
        </w:tc>
        <w:tc>
          <w:tcPr>
            <w:tcW w:w="1184" w:type="dxa"/>
            <w:tcBorders>
              <w:top w:val="single" w:sz="4" w:space="0" w:color="auto"/>
              <w:left w:val="single" w:sz="4" w:space="0" w:color="auto"/>
              <w:bottom w:val="single" w:sz="4" w:space="0" w:color="auto"/>
              <w:right w:val="single" w:sz="4" w:space="0" w:color="auto"/>
            </w:tcBorders>
            <w:noWrap/>
            <w:vAlign w:val="center"/>
          </w:tcPr>
          <w:p w14:paraId="00D53876" w14:textId="77777777" w:rsidR="00AD0A42" w:rsidRPr="00AD0A42" w:rsidRDefault="00AD0A42" w:rsidP="00E52D02">
            <w:pPr>
              <w:widowControl/>
              <w:jc w:val="center"/>
              <w:textAlignment w:val="center"/>
              <w:rPr>
                <w:rFonts w:cs="宋体" w:hint="eastAsia"/>
                <w:color w:val="000000"/>
                <w:sz w:val="28"/>
                <w:szCs w:val="28"/>
              </w:rPr>
            </w:pPr>
            <w:proofErr w:type="gramStart"/>
            <w:r w:rsidRPr="00AD0A42">
              <w:rPr>
                <w:rFonts w:cs="宋体" w:hint="eastAsia"/>
                <w:color w:val="000000"/>
                <w:sz w:val="28"/>
                <w:szCs w:val="28"/>
              </w:rPr>
              <w:t>徵</w:t>
            </w:r>
            <w:proofErr w:type="gramEnd"/>
          </w:p>
        </w:tc>
        <w:tc>
          <w:tcPr>
            <w:tcW w:w="1184" w:type="dxa"/>
            <w:tcBorders>
              <w:top w:val="single" w:sz="4" w:space="0" w:color="auto"/>
              <w:left w:val="single" w:sz="4" w:space="0" w:color="auto"/>
              <w:bottom w:val="single" w:sz="4" w:space="0" w:color="auto"/>
              <w:right w:val="single" w:sz="4" w:space="0" w:color="auto"/>
            </w:tcBorders>
            <w:noWrap/>
            <w:vAlign w:val="center"/>
          </w:tcPr>
          <w:p w14:paraId="0EE3AD29"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w:t>
            </w:r>
          </w:p>
        </w:tc>
        <w:tc>
          <w:tcPr>
            <w:tcW w:w="1184" w:type="dxa"/>
            <w:tcBorders>
              <w:top w:val="single" w:sz="4" w:space="0" w:color="auto"/>
              <w:left w:val="single" w:sz="4" w:space="0" w:color="auto"/>
              <w:bottom w:val="single" w:sz="4" w:space="0" w:color="auto"/>
              <w:right w:val="single" w:sz="4" w:space="0" w:color="auto"/>
            </w:tcBorders>
            <w:noWrap/>
            <w:vAlign w:val="center"/>
          </w:tcPr>
          <w:p w14:paraId="4F76AA67"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商</w:t>
            </w:r>
          </w:p>
        </w:tc>
        <w:tc>
          <w:tcPr>
            <w:tcW w:w="1186" w:type="dxa"/>
            <w:tcBorders>
              <w:top w:val="single" w:sz="4" w:space="0" w:color="auto"/>
              <w:left w:val="single" w:sz="4" w:space="0" w:color="auto"/>
              <w:bottom w:val="single" w:sz="4" w:space="0" w:color="auto"/>
              <w:right w:val="single" w:sz="4" w:space="0" w:color="auto"/>
            </w:tcBorders>
            <w:noWrap/>
            <w:vAlign w:val="center"/>
          </w:tcPr>
          <w:p w14:paraId="167412B7"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羽</w:t>
            </w:r>
          </w:p>
        </w:tc>
      </w:tr>
      <w:tr w:rsidR="00AD0A42" w:rsidRPr="00AD0A42" w14:paraId="0480F330"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2FDEB5C0"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《淮南子·</w:t>
            </w:r>
            <w:proofErr w:type="gramStart"/>
            <w:r w:rsidRPr="00AD0A42">
              <w:rPr>
                <w:rFonts w:cs="宋体" w:hint="eastAsia"/>
                <w:color w:val="000000"/>
                <w:kern w:val="0"/>
                <w:sz w:val="28"/>
                <w:szCs w:val="28"/>
                <w:lang w:bidi="ar"/>
              </w:rPr>
              <w:t>時</w:t>
            </w:r>
            <w:proofErr w:type="gramEnd"/>
            <w:r w:rsidRPr="00AD0A42">
              <w:rPr>
                <w:rFonts w:cs="宋体" w:hint="eastAsia"/>
                <w:color w:val="000000"/>
                <w:kern w:val="0"/>
                <w:sz w:val="28"/>
                <w:szCs w:val="28"/>
                <w:lang w:bidi="ar"/>
              </w:rPr>
              <w:t>則訓》</w:t>
            </w:r>
          </w:p>
        </w:tc>
        <w:tc>
          <w:tcPr>
            <w:tcW w:w="1184" w:type="dxa"/>
            <w:tcBorders>
              <w:top w:val="single" w:sz="4" w:space="0" w:color="auto"/>
              <w:left w:val="single" w:sz="4" w:space="0" w:color="auto"/>
              <w:bottom w:val="single" w:sz="4" w:space="0" w:color="auto"/>
              <w:right w:val="single" w:sz="4" w:space="0" w:color="auto"/>
            </w:tcBorders>
            <w:noWrap/>
            <w:vAlign w:val="center"/>
          </w:tcPr>
          <w:p w14:paraId="0DEF6517"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角</w:t>
            </w:r>
          </w:p>
        </w:tc>
        <w:tc>
          <w:tcPr>
            <w:tcW w:w="1184" w:type="dxa"/>
            <w:tcBorders>
              <w:top w:val="single" w:sz="4" w:space="0" w:color="auto"/>
              <w:left w:val="single" w:sz="4" w:space="0" w:color="auto"/>
              <w:bottom w:val="single" w:sz="4" w:space="0" w:color="auto"/>
              <w:right w:val="single" w:sz="4" w:space="0" w:color="auto"/>
            </w:tcBorders>
            <w:noWrap/>
            <w:vAlign w:val="center"/>
          </w:tcPr>
          <w:p w14:paraId="3405CAC5" w14:textId="77777777" w:rsidR="00AD0A42" w:rsidRPr="00AD0A42" w:rsidRDefault="00AD0A42" w:rsidP="00E52D02">
            <w:pPr>
              <w:widowControl/>
              <w:jc w:val="center"/>
              <w:textAlignment w:val="center"/>
              <w:rPr>
                <w:rFonts w:cs="宋体" w:hint="eastAsia"/>
                <w:color w:val="000000"/>
                <w:sz w:val="28"/>
                <w:szCs w:val="28"/>
              </w:rPr>
            </w:pPr>
            <w:proofErr w:type="gramStart"/>
            <w:r w:rsidRPr="00AD0A42">
              <w:rPr>
                <w:rFonts w:cs="宋体" w:hint="eastAsia"/>
                <w:color w:val="000000"/>
                <w:sz w:val="28"/>
                <w:szCs w:val="28"/>
              </w:rPr>
              <w:t>徵</w:t>
            </w:r>
            <w:proofErr w:type="gramEnd"/>
          </w:p>
        </w:tc>
        <w:tc>
          <w:tcPr>
            <w:tcW w:w="1184" w:type="dxa"/>
            <w:tcBorders>
              <w:top w:val="single" w:sz="4" w:space="0" w:color="auto"/>
              <w:left w:val="single" w:sz="4" w:space="0" w:color="auto"/>
              <w:bottom w:val="single" w:sz="4" w:space="0" w:color="auto"/>
              <w:right w:val="single" w:sz="4" w:space="0" w:color="auto"/>
            </w:tcBorders>
            <w:noWrap/>
            <w:vAlign w:val="center"/>
          </w:tcPr>
          <w:p w14:paraId="5D40AFDF"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宮</w:t>
            </w:r>
          </w:p>
        </w:tc>
        <w:tc>
          <w:tcPr>
            <w:tcW w:w="1184" w:type="dxa"/>
            <w:tcBorders>
              <w:top w:val="single" w:sz="4" w:space="0" w:color="auto"/>
              <w:left w:val="single" w:sz="4" w:space="0" w:color="auto"/>
              <w:bottom w:val="single" w:sz="4" w:space="0" w:color="auto"/>
              <w:right w:val="single" w:sz="4" w:space="0" w:color="auto"/>
            </w:tcBorders>
            <w:noWrap/>
            <w:vAlign w:val="center"/>
          </w:tcPr>
          <w:p w14:paraId="15A7E2B8"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商</w:t>
            </w:r>
          </w:p>
        </w:tc>
        <w:tc>
          <w:tcPr>
            <w:tcW w:w="1186" w:type="dxa"/>
            <w:tcBorders>
              <w:top w:val="single" w:sz="4" w:space="0" w:color="auto"/>
              <w:left w:val="single" w:sz="4" w:space="0" w:color="auto"/>
              <w:bottom w:val="single" w:sz="4" w:space="0" w:color="auto"/>
              <w:right w:val="single" w:sz="4" w:space="0" w:color="auto"/>
            </w:tcBorders>
            <w:noWrap/>
            <w:vAlign w:val="center"/>
          </w:tcPr>
          <w:p w14:paraId="64B1651D"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羽</w:t>
            </w:r>
          </w:p>
        </w:tc>
      </w:tr>
      <w:tr w:rsidR="00AD0A42" w:rsidRPr="00AD0A42" w14:paraId="6FE54B41"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61FE3042"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w:t>
            </w:r>
            <w:proofErr w:type="gramStart"/>
            <w:r w:rsidRPr="00AD0A42">
              <w:rPr>
                <w:rFonts w:cs="宋体" w:hint="eastAsia"/>
                <w:color w:val="000000"/>
                <w:kern w:val="0"/>
                <w:sz w:val="28"/>
                <w:szCs w:val="28"/>
                <w:lang w:bidi="ar"/>
              </w:rPr>
              <w:t>禮</w:t>
            </w:r>
            <w:proofErr w:type="gramEnd"/>
            <w:r w:rsidRPr="00AD0A42">
              <w:rPr>
                <w:rFonts w:cs="宋体" w:hint="eastAsia"/>
                <w:color w:val="000000"/>
                <w:kern w:val="0"/>
                <w:sz w:val="28"/>
                <w:szCs w:val="28"/>
                <w:lang w:bidi="ar"/>
              </w:rPr>
              <w:t>記·月令》</w:t>
            </w:r>
          </w:p>
        </w:tc>
        <w:tc>
          <w:tcPr>
            <w:tcW w:w="1184" w:type="dxa"/>
            <w:tcBorders>
              <w:top w:val="single" w:sz="4" w:space="0" w:color="auto"/>
              <w:left w:val="single" w:sz="4" w:space="0" w:color="auto"/>
              <w:bottom w:val="single" w:sz="4" w:space="0" w:color="auto"/>
              <w:right w:val="single" w:sz="4" w:space="0" w:color="auto"/>
            </w:tcBorders>
            <w:noWrap/>
            <w:vAlign w:val="center"/>
          </w:tcPr>
          <w:p w14:paraId="6F8E3A2D"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角</w:t>
            </w:r>
          </w:p>
        </w:tc>
        <w:tc>
          <w:tcPr>
            <w:tcW w:w="1184" w:type="dxa"/>
            <w:tcBorders>
              <w:top w:val="single" w:sz="4" w:space="0" w:color="auto"/>
              <w:left w:val="single" w:sz="4" w:space="0" w:color="auto"/>
              <w:bottom w:val="single" w:sz="4" w:space="0" w:color="auto"/>
              <w:right w:val="single" w:sz="4" w:space="0" w:color="auto"/>
            </w:tcBorders>
            <w:noWrap/>
            <w:vAlign w:val="center"/>
          </w:tcPr>
          <w:p w14:paraId="3E5AC742" w14:textId="77777777" w:rsidR="00AD0A42" w:rsidRPr="00AD0A42" w:rsidRDefault="00AD0A42" w:rsidP="00E52D02">
            <w:pPr>
              <w:widowControl/>
              <w:jc w:val="center"/>
              <w:textAlignment w:val="center"/>
              <w:rPr>
                <w:rFonts w:cs="宋体" w:hint="eastAsia"/>
                <w:color w:val="000000"/>
                <w:sz w:val="28"/>
                <w:szCs w:val="28"/>
              </w:rPr>
            </w:pPr>
            <w:proofErr w:type="gramStart"/>
            <w:r w:rsidRPr="00AD0A42">
              <w:rPr>
                <w:rFonts w:cs="宋体" w:hint="eastAsia"/>
                <w:color w:val="000000"/>
                <w:sz w:val="28"/>
                <w:szCs w:val="28"/>
              </w:rPr>
              <w:t>徵</w:t>
            </w:r>
            <w:proofErr w:type="gramEnd"/>
          </w:p>
        </w:tc>
        <w:tc>
          <w:tcPr>
            <w:tcW w:w="1184" w:type="dxa"/>
            <w:tcBorders>
              <w:top w:val="single" w:sz="4" w:space="0" w:color="auto"/>
              <w:left w:val="single" w:sz="4" w:space="0" w:color="auto"/>
              <w:bottom w:val="single" w:sz="4" w:space="0" w:color="auto"/>
              <w:right w:val="single" w:sz="4" w:space="0" w:color="auto"/>
            </w:tcBorders>
            <w:noWrap/>
            <w:vAlign w:val="center"/>
          </w:tcPr>
          <w:p w14:paraId="3B9B1302"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宮</w:t>
            </w:r>
          </w:p>
        </w:tc>
        <w:tc>
          <w:tcPr>
            <w:tcW w:w="1184" w:type="dxa"/>
            <w:tcBorders>
              <w:top w:val="single" w:sz="4" w:space="0" w:color="auto"/>
              <w:left w:val="single" w:sz="4" w:space="0" w:color="auto"/>
              <w:bottom w:val="single" w:sz="4" w:space="0" w:color="auto"/>
              <w:right w:val="single" w:sz="4" w:space="0" w:color="auto"/>
            </w:tcBorders>
            <w:noWrap/>
            <w:vAlign w:val="center"/>
          </w:tcPr>
          <w:p w14:paraId="4734FA02"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商</w:t>
            </w:r>
          </w:p>
        </w:tc>
        <w:tc>
          <w:tcPr>
            <w:tcW w:w="1186" w:type="dxa"/>
            <w:tcBorders>
              <w:top w:val="single" w:sz="4" w:space="0" w:color="auto"/>
              <w:left w:val="single" w:sz="4" w:space="0" w:color="auto"/>
              <w:bottom w:val="single" w:sz="4" w:space="0" w:color="auto"/>
              <w:right w:val="single" w:sz="4" w:space="0" w:color="auto"/>
            </w:tcBorders>
            <w:noWrap/>
            <w:vAlign w:val="center"/>
          </w:tcPr>
          <w:p w14:paraId="5668071A"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kern w:val="0"/>
                <w:sz w:val="28"/>
                <w:szCs w:val="28"/>
                <w:lang w:bidi="ar"/>
              </w:rPr>
              <w:t>羽</w:t>
            </w:r>
          </w:p>
        </w:tc>
      </w:tr>
      <w:tr w:rsidR="00AD0A42" w:rsidRPr="00AD0A42" w14:paraId="2C3CE199"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4A850283"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《管子·幼官》</w:t>
            </w:r>
          </w:p>
        </w:tc>
        <w:tc>
          <w:tcPr>
            <w:tcW w:w="1184" w:type="dxa"/>
            <w:tcBorders>
              <w:top w:val="single" w:sz="4" w:space="0" w:color="auto"/>
              <w:left w:val="single" w:sz="4" w:space="0" w:color="auto"/>
              <w:bottom w:val="single" w:sz="4" w:space="0" w:color="auto"/>
              <w:right w:val="single" w:sz="4" w:space="0" w:color="auto"/>
            </w:tcBorders>
            <w:noWrap/>
            <w:vAlign w:val="center"/>
          </w:tcPr>
          <w:p w14:paraId="6BBE25D7"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角</w:t>
            </w:r>
          </w:p>
        </w:tc>
        <w:tc>
          <w:tcPr>
            <w:tcW w:w="1184" w:type="dxa"/>
            <w:tcBorders>
              <w:top w:val="single" w:sz="4" w:space="0" w:color="auto"/>
              <w:left w:val="single" w:sz="4" w:space="0" w:color="auto"/>
              <w:bottom w:val="single" w:sz="4" w:space="0" w:color="auto"/>
              <w:right w:val="single" w:sz="4" w:space="0" w:color="auto"/>
            </w:tcBorders>
            <w:noWrap/>
            <w:vAlign w:val="center"/>
          </w:tcPr>
          <w:p w14:paraId="78BEA988"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sz w:val="28"/>
                <w:szCs w:val="28"/>
              </w:rPr>
              <w:t>羽</w:t>
            </w:r>
          </w:p>
        </w:tc>
        <w:tc>
          <w:tcPr>
            <w:tcW w:w="1184" w:type="dxa"/>
            <w:tcBorders>
              <w:top w:val="single" w:sz="4" w:space="0" w:color="auto"/>
              <w:left w:val="single" w:sz="4" w:space="0" w:color="auto"/>
              <w:bottom w:val="single" w:sz="4" w:space="0" w:color="auto"/>
              <w:right w:val="single" w:sz="4" w:space="0" w:color="auto"/>
            </w:tcBorders>
            <w:noWrap/>
            <w:vAlign w:val="center"/>
          </w:tcPr>
          <w:p w14:paraId="457AAD22"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宮</w:t>
            </w:r>
          </w:p>
        </w:tc>
        <w:tc>
          <w:tcPr>
            <w:tcW w:w="1184" w:type="dxa"/>
            <w:tcBorders>
              <w:top w:val="single" w:sz="4" w:space="0" w:color="auto"/>
              <w:left w:val="single" w:sz="4" w:space="0" w:color="auto"/>
              <w:bottom w:val="single" w:sz="4" w:space="0" w:color="auto"/>
              <w:right w:val="single" w:sz="4" w:space="0" w:color="auto"/>
            </w:tcBorders>
            <w:noWrap/>
            <w:vAlign w:val="center"/>
          </w:tcPr>
          <w:p w14:paraId="0E50CC65"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商</w:t>
            </w:r>
          </w:p>
        </w:tc>
        <w:tc>
          <w:tcPr>
            <w:tcW w:w="1186" w:type="dxa"/>
            <w:tcBorders>
              <w:top w:val="single" w:sz="4" w:space="0" w:color="auto"/>
              <w:left w:val="single" w:sz="4" w:space="0" w:color="auto"/>
              <w:bottom w:val="single" w:sz="4" w:space="0" w:color="auto"/>
              <w:right w:val="single" w:sz="4" w:space="0" w:color="auto"/>
            </w:tcBorders>
            <w:noWrap/>
            <w:vAlign w:val="center"/>
          </w:tcPr>
          <w:p w14:paraId="4CBDE667" w14:textId="77777777" w:rsidR="00AD0A42" w:rsidRPr="00AD0A42" w:rsidRDefault="00AD0A42" w:rsidP="00E52D02">
            <w:pPr>
              <w:widowControl/>
              <w:jc w:val="center"/>
              <w:textAlignment w:val="center"/>
              <w:rPr>
                <w:rFonts w:cs="宋体" w:hint="eastAsia"/>
                <w:color w:val="000000"/>
                <w:kern w:val="0"/>
                <w:sz w:val="28"/>
                <w:szCs w:val="28"/>
                <w:lang w:bidi="ar"/>
              </w:rPr>
            </w:pPr>
            <w:proofErr w:type="gramStart"/>
            <w:r w:rsidRPr="00AD0A42">
              <w:rPr>
                <w:rFonts w:cs="宋体" w:hint="eastAsia"/>
                <w:color w:val="000000"/>
                <w:sz w:val="28"/>
                <w:szCs w:val="28"/>
              </w:rPr>
              <w:t>徵</w:t>
            </w:r>
            <w:proofErr w:type="gramEnd"/>
          </w:p>
        </w:tc>
      </w:tr>
      <w:tr w:rsidR="00AD0A42" w:rsidRPr="00AD0A42" w14:paraId="6ACE6B35"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36A77ECD"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《鶡冠子·泰鴻》</w:t>
            </w:r>
          </w:p>
        </w:tc>
        <w:tc>
          <w:tcPr>
            <w:tcW w:w="1184" w:type="dxa"/>
            <w:tcBorders>
              <w:top w:val="single" w:sz="4" w:space="0" w:color="auto"/>
              <w:left w:val="single" w:sz="4" w:space="0" w:color="auto"/>
              <w:bottom w:val="single" w:sz="4" w:space="0" w:color="auto"/>
              <w:right w:val="single" w:sz="4" w:space="0" w:color="auto"/>
            </w:tcBorders>
            <w:noWrap/>
            <w:vAlign w:val="center"/>
          </w:tcPr>
          <w:p w14:paraId="52B85E9B" w14:textId="77777777" w:rsidR="00AD0A42" w:rsidRPr="00AD0A42" w:rsidRDefault="00AD0A42" w:rsidP="00E52D02">
            <w:pPr>
              <w:widowControl/>
              <w:jc w:val="center"/>
              <w:textAlignment w:val="center"/>
              <w:rPr>
                <w:rFonts w:cs="宋体" w:hint="eastAsia"/>
                <w:color w:val="000000"/>
                <w:kern w:val="0"/>
                <w:sz w:val="28"/>
                <w:szCs w:val="28"/>
                <w:lang w:bidi="ar"/>
              </w:rPr>
            </w:pPr>
            <w:proofErr w:type="gramStart"/>
            <w:r w:rsidRPr="00AD0A42">
              <w:rPr>
                <w:rFonts w:cs="宋体" w:hint="eastAsia"/>
                <w:color w:val="000000"/>
                <w:sz w:val="28"/>
                <w:szCs w:val="28"/>
              </w:rPr>
              <w:t>徵</w:t>
            </w:r>
            <w:proofErr w:type="gramEnd"/>
          </w:p>
        </w:tc>
        <w:tc>
          <w:tcPr>
            <w:tcW w:w="1184" w:type="dxa"/>
            <w:tcBorders>
              <w:top w:val="single" w:sz="4" w:space="0" w:color="auto"/>
              <w:left w:val="single" w:sz="4" w:space="0" w:color="auto"/>
              <w:bottom w:val="single" w:sz="4" w:space="0" w:color="auto"/>
              <w:right w:val="single" w:sz="4" w:space="0" w:color="auto"/>
            </w:tcBorders>
            <w:noWrap/>
            <w:vAlign w:val="center"/>
          </w:tcPr>
          <w:p w14:paraId="06123BE0"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sz w:val="28"/>
                <w:szCs w:val="28"/>
              </w:rPr>
              <w:t>羽</w:t>
            </w:r>
          </w:p>
        </w:tc>
        <w:tc>
          <w:tcPr>
            <w:tcW w:w="1184" w:type="dxa"/>
            <w:tcBorders>
              <w:top w:val="single" w:sz="4" w:space="0" w:color="auto"/>
              <w:left w:val="single" w:sz="4" w:space="0" w:color="auto"/>
              <w:bottom w:val="single" w:sz="4" w:space="0" w:color="auto"/>
              <w:right w:val="single" w:sz="4" w:space="0" w:color="auto"/>
            </w:tcBorders>
            <w:noWrap/>
            <w:vAlign w:val="center"/>
          </w:tcPr>
          <w:p w14:paraId="048FB282"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宮</w:t>
            </w:r>
          </w:p>
        </w:tc>
        <w:tc>
          <w:tcPr>
            <w:tcW w:w="1184" w:type="dxa"/>
            <w:tcBorders>
              <w:top w:val="single" w:sz="4" w:space="0" w:color="auto"/>
              <w:left w:val="single" w:sz="4" w:space="0" w:color="auto"/>
              <w:bottom w:val="single" w:sz="4" w:space="0" w:color="auto"/>
              <w:right w:val="single" w:sz="4" w:space="0" w:color="auto"/>
            </w:tcBorders>
            <w:noWrap/>
            <w:vAlign w:val="center"/>
          </w:tcPr>
          <w:p w14:paraId="17BFC633"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商</w:t>
            </w:r>
          </w:p>
        </w:tc>
        <w:tc>
          <w:tcPr>
            <w:tcW w:w="1186" w:type="dxa"/>
            <w:tcBorders>
              <w:top w:val="single" w:sz="4" w:space="0" w:color="auto"/>
              <w:left w:val="single" w:sz="4" w:space="0" w:color="auto"/>
              <w:bottom w:val="single" w:sz="4" w:space="0" w:color="auto"/>
              <w:right w:val="single" w:sz="4" w:space="0" w:color="auto"/>
            </w:tcBorders>
            <w:noWrap/>
            <w:vAlign w:val="center"/>
          </w:tcPr>
          <w:p w14:paraId="33234302"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sz w:val="28"/>
                <w:szCs w:val="28"/>
              </w:rPr>
              <w:t>角</w:t>
            </w:r>
          </w:p>
        </w:tc>
      </w:tr>
      <w:tr w:rsidR="00AD0A42" w:rsidRPr="00AD0A42" w14:paraId="4985FE0C"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0BF3B509" w14:textId="77777777" w:rsidR="00AD0A42" w:rsidRPr="00AD0A42" w:rsidRDefault="00AD0A42" w:rsidP="00E52D02">
            <w:pPr>
              <w:widowControl/>
              <w:jc w:val="center"/>
              <w:textAlignment w:val="center"/>
              <w:rPr>
                <w:rFonts w:cs="宋体" w:hint="eastAsia"/>
                <w:color w:val="000000"/>
                <w:kern w:val="0"/>
                <w:sz w:val="28"/>
                <w:szCs w:val="28"/>
                <w:lang w:eastAsia="zh-TW" w:bidi="ar"/>
              </w:rPr>
            </w:pPr>
            <w:r w:rsidRPr="00AD0A42">
              <w:rPr>
                <w:rFonts w:cs="宋体" w:hint="eastAsia"/>
                <w:color w:val="000000"/>
                <w:kern w:val="0"/>
                <w:sz w:val="28"/>
                <w:szCs w:val="28"/>
                <w:lang w:eastAsia="zh-TW" w:bidi="ar"/>
              </w:rPr>
              <w:t>放馬灘秦簡《日乙·五音》</w:t>
            </w:r>
          </w:p>
        </w:tc>
        <w:tc>
          <w:tcPr>
            <w:tcW w:w="1184" w:type="dxa"/>
            <w:tcBorders>
              <w:top w:val="single" w:sz="4" w:space="0" w:color="auto"/>
              <w:left w:val="single" w:sz="4" w:space="0" w:color="auto"/>
              <w:bottom w:val="single" w:sz="4" w:space="0" w:color="auto"/>
              <w:right w:val="single" w:sz="4" w:space="0" w:color="auto"/>
            </w:tcBorders>
            <w:noWrap/>
            <w:vAlign w:val="center"/>
          </w:tcPr>
          <w:p w14:paraId="1F74D996" w14:textId="77777777" w:rsidR="00AD0A42" w:rsidRPr="00AD0A42" w:rsidRDefault="00AD0A42" w:rsidP="00E52D02">
            <w:pPr>
              <w:widowControl/>
              <w:jc w:val="center"/>
              <w:textAlignment w:val="center"/>
              <w:rPr>
                <w:rFonts w:cs="宋体" w:hint="eastAsia"/>
                <w:color w:val="000000"/>
                <w:kern w:val="0"/>
                <w:sz w:val="28"/>
                <w:szCs w:val="28"/>
                <w:lang w:bidi="ar"/>
              </w:rPr>
            </w:pPr>
            <w:proofErr w:type="gramStart"/>
            <w:r w:rsidRPr="00AD0A42">
              <w:rPr>
                <w:rFonts w:cs="宋体" w:hint="eastAsia"/>
                <w:color w:val="000000"/>
                <w:sz w:val="28"/>
                <w:szCs w:val="28"/>
              </w:rPr>
              <w:t>徵</w:t>
            </w:r>
            <w:proofErr w:type="gramEnd"/>
          </w:p>
        </w:tc>
        <w:tc>
          <w:tcPr>
            <w:tcW w:w="1184" w:type="dxa"/>
            <w:tcBorders>
              <w:top w:val="single" w:sz="4" w:space="0" w:color="auto"/>
              <w:left w:val="single" w:sz="4" w:space="0" w:color="auto"/>
              <w:bottom w:val="single" w:sz="4" w:space="0" w:color="auto"/>
              <w:right w:val="single" w:sz="4" w:space="0" w:color="auto"/>
            </w:tcBorders>
            <w:noWrap/>
            <w:vAlign w:val="center"/>
          </w:tcPr>
          <w:p w14:paraId="60CC15A0"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sz w:val="28"/>
                <w:szCs w:val="28"/>
              </w:rPr>
              <w:t>羽</w:t>
            </w:r>
          </w:p>
        </w:tc>
        <w:tc>
          <w:tcPr>
            <w:tcW w:w="1184" w:type="dxa"/>
            <w:tcBorders>
              <w:top w:val="single" w:sz="4" w:space="0" w:color="auto"/>
              <w:left w:val="single" w:sz="4" w:space="0" w:color="auto"/>
              <w:bottom w:val="single" w:sz="4" w:space="0" w:color="auto"/>
              <w:right w:val="single" w:sz="4" w:space="0" w:color="auto"/>
            </w:tcBorders>
            <w:noWrap/>
            <w:vAlign w:val="center"/>
          </w:tcPr>
          <w:p w14:paraId="10667591"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宮</w:t>
            </w:r>
          </w:p>
        </w:tc>
        <w:tc>
          <w:tcPr>
            <w:tcW w:w="1184" w:type="dxa"/>
            <w:tcBorders>
              <w:top w:val="single" w:sz="4" w:space="0" w:color="auto"/>
              <w:left w:val="single" w:sz="4" w:space="0" w:color="auto"/>
              <w:bottom w:val="single" w:sz="4" w:space="0" w:color="auto"/>
              <w:right w:val="single" w:sz="4" w:space="0" w:color="auto"/>
            </w:tcBorders>
            <w:noWrap/>
            <w:vAlign w:val="center"/>
          </w:tcPr>
          <w:p w14:paraId="45B8F85E"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商</w:t>
            </w:r>
          </w:p>
        </w:tc>
        <w:tc>
          <w:tcPr>
            <w:tcW w:w="1186" w:type="dxa"/>
            <w:tcBorders>
              <w:top w:val="single" w:sz="4" w:space="0" w:color="auto"/>
              <w:left w:val="single" w:sz="4" w:space="0" w:color="auto"/>
              <w:bottom w:val="single" w:sz="4" w:space="0" w:color="auto"/>
              <w:right w:val="single" w:sz="4" w:space="0" w:color="auto"/>
            </w:tcBorders>
            <w:noWrap/>
            <w:vAlign w:val="center"/>
          </w:tcPr>
          <w:p w14:paraId="641D0CEE"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sz w:val="28"/>
                <w:szCs w:val="28"/>
              </w:rPr>
              <w:t>角</w:t>
            </w:r>
          </w:p>
        </w:tc>
      </w:tr>
      <w:tr w:rsidR="00AD0A42" w:rsidRPr="00AD0A42" w14:paraId="14F28132" w14:textId="77777777" w:rsidTr="00E52D02">
        <w:trPr>
          <w:trHeight w:val="288"/>
          <w:jc w:val="center"/>
        </w:trPr>
        <w:tc>
          <w:tcPr>
            <w:tcW w:w="2655" w:type="dxa"/>
            <w:tcBorders>
              <w:top w:val="single" w:sz="4" w:space="0" w:color="auto"/>
              <w:left w:val="single" w:sz="4" w:space="0" w:color="auto"/>
              <w:bottom w:val="single" w:sz="4" w:space="0" w:color="auto"/>
              <w:right w:val="single" w:sz="4" w:space="0" w:color="auto"/>
            </w:tcBorders>
            <w:noWrap/>
            <w:vAlign w:val="center"/>
          </w:tcPr>
          <w:p w14:paraId="346FE84E"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孔家坡</w:t>
            </w:r>
            <w:proofErr w:type="gramStart"/>
            <w:r w:rsidRPr="00AD0A42">
              <w:rPr>
                <w:rFonts w:cs="宋体" w:hint="eastAsia"/>
                <w:color w:val="000000"/>
                <w:kern w:val="0"/>
                <w:sz w:val="28"/>
                <w:szCs w:val="28"/>
                <w:lang w:bidi="ar"/>
              </w:rPr>
              <w:t>漢</w:t>
            </w:r>
            <w:proofErr w:type="gramEnd"/>
            <w:r w:rsidRPr="00AD0A42">
              <w:rPr>
                <w:rFonts w:cs="宋体" w:hint="eastAsia"/>
                <w:color w:val="000000"/>
                <w:kern w:val="0"/>
                <w:sz w:val="28"/>
                <w:szCs w:val="28"/>
                <w:lang w:bidi="ar"/>
              </w:rPr>
              <w:t>簡《</w:t>
            </w:r>
            <w:proofErr w:type="gramStart"/>
            <w:r w:rsidRPr="00AD0A42">
              <w:rPr>
                <w:rFonts w:cs="宋体" w:hint="eastAsia"/>
                <w:color w:val="000000"/>
                <w:kern w:val="0"/>
                <w:sz w:val="28"/>
                <w:szCs w:val="28"/>
                <w:lang w:bidi="ar"/>
              </w:rPr>
              <w:t>歲</w:t>
            </w:r>
            <w:proofErr w:type="gramEnd"/>
            <w:r w:rsidRPr="00AD0A42">
              <w:rPr>
                <w:rFonts w:cs="宋体" w:hint="eastAsia"/>
                <w:color w:val="000000"/>
                <w:kern w:val="0"/>
                <w:sz w:val="28"/>
                <w:szCs w:val="28"/>
                <w:lang w:bidi="ar"/>
              </w:rPr>
              <w:t>》</w:t>
            </w:r>
          </w:p>
        </w:tc>
        <w:tc>
          <w:tcPr>
            <w:tcW w:w="1184" w:type="dxa"/>
            <w:tcBorders>
              <w:top w:val="single" w:sz="4" w:space="0" w:color="auto"/>
              <w:left w:val="single" w:sz="4" w:space="0" w:color="auto"/>
              <w:bottom w:val="single" w:sz="4" w:space="0" w:color="auto"/>
              <w:right w:val="single" w:sz="4" w:space="0" w:color="auto"/>
            </w:tcBorders>
            <w:noWrap/>
            <w:vAlign w:val="center"/>
          </w:tcPr>
          <w:p w14:paraId="442FB8ED" w14:textId="77777777" w:rsidR="00AD0A42" w:rsidRPr="00AD0A42" w:rsidRDefault="00AD0A42" w:rsidP="00E52D02">
            <w:pPr>
              <w:widowControl/>
              <w:jc w:val="center"/>
              <w:textAlignment w:val="center"/>
              <w:rPr>
                <w:rFonts w:cs="宋体" w:hint="eastAsia"/>
                <w:color w:val="000000"/>
                <w:kern w:val="0"/>
                <w:sz w:val="28"/>
                <w:szCs w:val="28"/>
                <w:lang w:bidi="ar"/>
              </w:rPr>
            </w:pPr>
            <w:proofErr w:type="gramStart"/>
            <w:r w:rsidRPr="00AD0A42">
              <w:rPr>
                <w:rFonts w:cs="宋体" w:hint="eastAsia"/>
                <w:color w:val="000000"/>
                <w:sz w:val="28"/>
                <w:szCs w:val="28"/>
              </w:rPr>
              <w:t>徵</w:t>
            </w:r>
            <w:proofErr w:type="gramEnd"/>
          </w:p>
        </w:tc>
        <w:tc>
          <w:tcPr>
            <w:tcW w:w="1184" w:type="dxa"/>
            <w:tcBorders>
              <w:top w:val="single" w:sz="4" w:space="0" w:color="auto"/>
              <w:left w:val="single" w:sz="4" w:space="0" w:color="auto"/>
              <w:bottom w:val="single" w:sz="4" w:space="0" w:color="auto"/>
              <w:right w:val="single" w:sz="4" w:space="0" w:color="auto"/>
            </w:tcBorders>
            <w:noWrap/>
            <w:vAlign w:val="center"/>
          </w:tcPr>
          <w:p w14:paraId="75D62599"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sz w:val="28"/>
                <w:szCs w:val="28"/>
              </w:rPr>
              <w:t>羽</w:t>
            </w:r>
          </w:p>
        </w:tc>
        <w:tc>
          <w:tcPr>
            <w:tcW w:w="1184" w:type="dxa"/>
            <w:tcBorders>
              <w:top w:val="single" w:sz="4" w:space="0" w:color="auto"/>
              <w:left w:val="single" w:sz="4" w:space="0" w:color="auto"/>
              <w:bottom w:val="single" w:sz="4" w:space="0" w:color="auto"/>
              <w:right w:val="single" w:sz="4" w:space="0" w:color="auto"/>
            </w:tcBorders>
            <w:noWrap/>
            <w:vAlign w:val="center"/>
          </w:tcPr>
          <w:p w14:paraId="336D660E"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宮</w:t>
            </w:r>
          </w:p>
        </w:tc>
        <w:tc>
          <w:tcPr>
            <w:tcW w:w="1184" w:type="dxa"/>
            <w:tcBorders>
              <w:top w:val="single" w:sz="4" w:space="0" w:color="auto"/>
              <w:left w:val="single" w:sz="4" w:space="0" w:color="auto"/>
              <w:bottom w:val="single" w:sz="4" w:space="0" w:color="auto"/>
              <w:right w:val="single" w:sz="4" w:space="0" w:color="auto"/>
            </w:tcBorders>
            <w:noWrap/>
            <w:vAlign w:val="center"/>
          </w:tcPr>
          <w:p w14:paraId="06F0EA27" w14:textId="77777777" w:rsidR="00AD0A42" w:rsidRPr="00AD0A42" w:rsidRDefault="00AD0A42" w:rsidP="00E52D02">
            <w:pPr>
              <w:widowControl/>
              <w:jc w:val="center"/>
              <w:textAlignment w:val="center"/>
              <w:rPr>
                <w:rFonts w:cs="宋体" w:hint="eastAsia"/>
                <w:color w:val="000000"/>
                <w:kern w:val="0"/>
                <w:sz w:val="28"/>
                <w:szCs w:val="28"/>
                <w:lang w:bidi="ar"/>
              </w:rPr>
            </w:pPr>
            <w:r w:rsidRPr="00AD0A42">
              <w:rPr>
                <w:rFonts w:cs="宋体" w:hint="eastAsia"/>
                <w:color w:val="000000"/>
                <w:kern w:val="0"/>
                <w:sz w:val="28"/>
                <w:szCs w:val="28"/>
                <w:lang w:bidi="ar"/>
              </w:rPr>
              <w:t>商</w:t>
            </w:r>
          </w:p>
        </w:tc>
        <w:tc>
          <w:tcPr>
            <w:tcW w:w="1186" w:type="dxa"/>
            <w:tcBorders>
              <w:top w:val="single" w:sz="4" w:space="0" w:color="auto"/>
              <w:left w:val="single" w:sz="4" w:space="0" w:color="auto"/>
              <w:bottom w:val="single" w:sz="4" w:space="0" w:color="auto"/>
              <w:right w:val="single" w:sz="4" w:space="0" w:color="auto"/>
            </w:tcBorders>
            <w:noWrap/>
            <w:vAlign w:val="center"/>
          </w:tcPr>
          <w:p w14:paraId="63537D15" w14:textId="77777777" w:rsidR="00AD0A42" w:rsidRPr="00AD0A42" w:rsidRDefault="00AD0A42" w:rsidP="00E52D02">
            <w:pPr>
              <w:widowControl/>
              <w:jc w:val="center"/>
              <w:textAlignment w:val="center"/>
              <w:rPr>
                <w:rFonts w:cs="宋体" w:hint="eastAsia"/>
                <w:color w:val="000000"/>
                <w:sz w:val="28"/>
                <w:szCs w:val="28"/>
              </w:rPr>
            </w:pPr>
            <w:r w:rsidRPr="00AD0A42">
              <w:rPr>
                <w:rFonts w:cs="宋体" w:hint="eastAsia"/>
                <w:color w:val="000000"/>
                <w:sz w:val="28"/>
                <w:szCs w:val="28"/>
              </w:rPr>
              <w:t>角</w:t>
            </w:r>
          </w:p>
        </w:tc>
      </w:tr>
    </w:tbl>
    <w:p w14:paraId="36532A97" w14:textId="14F7F0AA" w:rsidR="00AD0A42" w:rsidRPr="00AD0A42" w:rsidRDefault="00AD0A42" w:rsidP="00AD0A42">
      <w:pPr>
        <w:pStyle w:val="afd"/>
        <w:ind w:leftChars="-400" w:left="-960"/>
        <w:jc w:val="center"/>
        <w:rPr>
          <w:rFonts w:hint="eastAsia"/>
          <w:sz w:val="28"/>
          <w:szCs w:val="28"/>
        </w:rPr>
      </w:pPr>
      <w:r w:rsidRPr="00AD0A42">
        <w:rPr>
          <w:noProof/>
          <w:sz w:val="28"/>
          <w:szCs w:val="28"/>
        </w:rPr>
        <w:lastRenderedPageBreak/>
        <w:drawing>
          <wp:inline distT="0" distB="0" distL="0" distR="0" wp14:anchorId="3D38B570" wp14:editId="2FEC3D49">
            <wp:extent cx="6423660" cy="3611880"/>
            <wp:effectExtent l="0" t="0" r="0" b="7620"/>
            <wp:docPr id="21093223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23660" cy="3611880"/>
                    </a:xfrm>
                    <a:prstGeom prst="rect">
                      <a:avLst/>
                    </a:prstGeom>
                    <a:noFill/>
                    <a:ln>
                      <a:noFill/>
                    </a:ln>
                    <a:effectLst/>
                  </pic:spPr>
                </pic:pic>
              </a:graphicData>
            </a:graphic>
          </wp:inline>
        </w:drawing>
      </w:r>
    </w:p>
    <w:p w14:paraId="2F95AB03" w14:textId="77777777" w:rsidR="00AD0A42" w:rsidRPr="00AD0A42" w:rsidRDefault="00AD0A42" w:rsidP="00AD0A42">
      <w:pPr>
        <w:pStyle w:val="af2"/>
        <w:widowControl/>
        <w:ind w:leftChars="-400" w:left="-960"/>
        <w:jc w:val="center"/>
        <w:rPr>
          <w:rFonts w:ascii="宋体" w:eastAsia="宋体" w:hAnsi="宋体" w:hint="eastAsia"/>
          <w:sz w:val="24"/>
          <w:szCs w:val="24"/>
          <w:lang w:eastAsia="zh-TW"/>
        </w:rPr>
      </w:pPr>
      <w:r w:rsidRPr="00AD0A42">
        <w:rPr>
          <w:rFonts w:ascii="宋体" w:eastAsia="宋体" w:hAnsi="宋体" w:hint="eastAsia"/>
          <w:sz w:val="24"/>
          <w:szCs w:val="24"/>
          <w:lang w:eastAsia="zh-TW"/>
        </w:rPr>
        <w:t>圖</w:t>
      </w:r>
      <w:r w:rsidRPr="00AD0A42">
        <w:rPr>
          <w:rFonts w:ascii="宋体" w:eastAsia="宋体" w:hAnsi="宋体"/>
          <w:sz w:val="24"/>
          <w:szCs w:val="24"/>
          <w:lang w:eastAsia="zh-TW"/>
        </w:rPr>
        <w:t xml:space="preserve"> </w:t>
      </w:r>
      <w:r w:rsidRPr="00AD0A42">
        <w:rPr>
          <w:rFonts w:ascii="宋体" w:eastAsia="宋体" w:hAnsi="宋体" w:hint="eastAsia"/>
          <w:sz w:val="24"/>
          <w:szCs w:val="24"/>
          <w:lang w:eastAsia="zh-TW"/>
        </w:rPr>
        <w:t>8   《陳起》篇“三方三圓”體系的圖式復原</w:t>
      </w:r>
    </w:p>
    <w:p w14:paraId="0552B9E0" w14:textId="77777777" w:rsidR="00AD0A42" w:rsidRPr="00AD0A42" w:rsidRDefault="00AD0A42" w:rsidP="00AD0A42">
      <w:pPr>
        <w:rPr>
          <w:rFonts w:hint="eastAsia"/>
          <w:lang w:eastAsia="zh-TW"/>
        </w:rPr>
      </w:pPr>
    </w:p>
    <w:p w14:paraId="1BCE68DC"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根據圖8的復原，以下對“三方三圓”中大、中、小的三層方圓的命名涵義進行釋讀。</w:t>
      </w:r>
    </w:p>
    <w:p w14:paraId="5899806F"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第一，大方大圓，命曰單薄之參。“單”，《說文》謂：“單，大也。”</w:t>
      </w:r>
      <w:r w:rsidRPr="00AD0A42">
        <w:rPr>
          <w:rStyle w:val="a6"/>
          <w:rFonts w:hint="eastAsia"/>
          <w:sz w:val="28"/>
          <w:szCs w:val="28"/>
        </w:rPr>
        <w:footnoteReference w:id="21"/>
      </w:r>
      <w:r w:rsidRPr="00AD0A42">
        <w:rPr>
          <w:rFonts w:hint="eastAsia"/>
          <w:sz w:val="28"/>
          <w:szCs w:val="28"/>
          <w:lang w:eastAsia="zh-TW"/>
        </w:rPr>
        <w:t>雖然文獻中鮮見“單”直接表示“大”之義，但常見“單”或從“單”得聲之字表示極、盡、盛、眾、廣等表示超越於一般程度的含義。如《國語》中《魯語》謂“堯能單均刑法以儀民”，</w:t>
      </w:r>
      <w:r w:rsidRPr="00AD0A42">
        <w:rPr>
          <w:rStyle w:val="a6"/>
          <w:rFonts w:hint="eastAsia"/>
          <w:sz w:val="28"/>
          <w:szCs w:val="28"/>
        </w:rPr>
        <w:footnoteReference w:id="22"/>
      </w:r>
      <w:r w:rsidRPr="00AD0A42">
        <w:rPr>
          <w:rFonts w:hint="eastAsia"/>
          <w:sz w:val="28"/>
          <w:szCs w:val="28"/>
          <w:lang w:eastAsia="zh-TW"/>
        </w:rPr>
        <w:t>《鄭語》謂“夏禹能單平水土”，</w:t>
      </w:r>
      <w:r w:rsidRPr="00AD0A42">
        <w:rPr>
          <w:rStyle w:val="a6"/>
          <w:rFonts w:hint="eastAsia"/>
          <w:sz w:val="28"/>
          <w:szCs w:val="28"/>
        </w:rPr>
        <w:footnoteReference w:id="23"/>
      </w:r>
      <w:r w:rsidRPr="00AD0A42">
        <w:rPr>
          <w:rFonts w:hint="eastAsia"/>
          <w:sz w:val="28"/>
          <w:szCs w:val="28"/>
          <w:lang w:eastAsia="zh-TW"/>
        </w:rPr>
        <w:t>韋昭均註爲“單，盡</w:t>
      </w:r>
      <w:r w:rsidRPr="00AD0A42">
        <w:rPr>
          <w:rFonts w:hint="eastAsia"/>
          <w:sz w:val="28"/>
          <w:szCs w:val="28"/>
          <w:lang w:eastAsia="zh-TW"/>
        </w:rPr>
        <w:lastRenderedPageBreak/>
        <w:t>也”；《史記·春申君列傳》謂“王之威亦單矣”，司馬貞《索隱》謂“單者，盡也”；</w:t>
      </w:r>
      <w:r w:rsidRPr="00AD0A42">
        <w:rPr>
          <w:rStyle w:val="a6"/>
          <w:rFonts w:hint="eastAsia"/>
          <w:sz w:val="28"/>
          <w:szCs w:val="28"/>
        </w:rPr>
        <w:footnoteReference w:id="24"/>
      </w:r>
      <w:r w:rsidRPr="00AD0A42">
        <w:rPr>
          <w:rFonts w:hint="eastAsia"/>
          <w:sz w:val="28"/>
          <w:szCs w:val="28"/>
          <w:lang w:eastAsia="zh-TW"/>
        </w:rPr>
        <w:t>《漢書·匈奴傳》中班固釋“單于”，謂“單于者，廣大之貌也”；</w:t>
      </w:r>
      <w:r w:rsidRPr="00AD0A42">
        <w:rPr>
          <w:rStyle w:val="a6"/>
          <w:rFonts w:hint="eastAsia"/>
          <w:sz w:val="28"/>
          <w:szCs w:val="28"/>
        </w:rPr>
        <w:footnoteReference w:id="25"/>
      </w:r>
      <w:r w:rsidRPr="00AD0A42">
        <w:rPr>
          <w:rFonts w:hint="eastAsia"/>
          <w:sz w:val="28"/>
          <w:szCs w:val="28"/>
          <w:lang w:eastAsia="zh-TW"/>
        </w:rPr>
        <w:t>《詩經·武常》有“王旅嘽嘽”，毛傳謂“嘽嘽然，盛也”，</w:t>
      </w:r>
      <w:r w:rsidRPr="00AD0A42">
        <w:rPr>
          <w:rStyle w:val="a6"/>
          <w:rFonts w:hint="eastAsia"/>
          <w:sz w:val="28"/>
          <w:szCs w:val="28"/>
        </w:rPr>
        <w:footnoteReference w:id="26"/>
      </w:r>
      <w:r w:rsidRPr="00AD0A42">
        <w:rPr>
          <w:rFonts w:hint="eastAsia"/>
          <w:sz w:val="28"/>
          <w:szCs w:val="28"/>
          <w:lang w:eastAsia="zh-TW"/>
        </w:rPr>
        <w:t>《采芑》“戎車嘽嘽”，毛傳謂“嘽嘽，眾也”，</w:t>
      </w:r>
      <w:r w:rsidRPr="00AD0A42">
        <w:rPr>
          <w:rStyle w:val="a6"/>
          <w:rFonts w:hint="eastAsia"/>
          <w:sz w:val="28"/>
          <w:szCs w:val="28"/>
        </w:rPr>
        <w:footnoteReference w:id="27"/>
      </w:r>
      <w:r w:rsidRPr="00AD0A42">
        <w:rPr>
          <w:rFonts w:hint="eastAsia"/>
          <w:sz w:val="28"/>
          <w:szCs w:val="28"/>
          <w:lang w:eastAsia="zh-TW"/>
        </w:rPr>
        <w:t>《詩經》此兩處從“單”得聲之“嘽嘽”均有軍容壯盛之義。又清華簡《兩中》“國其保單，后其庶人”，</w:t>
      </w:r>
      <w:r w:rsidRPr="00AD0A42">
        <w:rPr>
          <w:rStyle w:val="a6"/>
          <w:rFonts w:hint="eastAsia"/>
          <w:sz w:val="28"/>
          <w:szCs w:val="28"/>
        </w:rPr>
        <w:footnoteReference w:id="28"/>
      </w:r>
      <w:r w:rsidRPr="00AD0A42">
        <w:rPr>
          <w:rFonts w:hint="eastAsia"/>
          <w:sz w:val="28"/>
          <w:szCs w:val="28"/>
          <w:lang w:eastAsia="zh-TW"/>
        </w:rPr>
        <w:t>或可訓“單”爲“大”或“昌盛”，該句可語譯爲“邦國保有其強大昌盛，君王保有其統治的庶民”。可見《說文》訓“單”謂“大”可從。“薄”通“溥”，訓爲“廣大”，如《荀子·榮辱》謂“故薄薄之地，不得履之”，其“薄薄”謂磅礴廣大之貌；</w:t>
      </w:r>
      <w:r w:rsidRPr="00AD0A42">
        <w:rPr>
          <w:rStyle w:val="a6"/>
          <w:rFonts w:hint="eastAsia"/>
          <w:sz w:val="28"/>
          <w:szCs w:val="28"/>
        </w:rPr>
        <w:footnoteReference w:id="29"/>
      </w:r>
      <w:r w:rsidRPr="00AD0A42">
        <w:rPr>
          <w:rFonts w:hint="eastAsia"/>
          <w:sz w:val="28"/>
          <w:szCs w:val="28"/>
          <w:lang w:eastAsia="zh-TW"/>
        </w:rPr>
        <w:t>又北大漢簡《老子》：“脩之國，其德乃逢（豐），脩之天下，其德乃薄（溥）”。</w:t>
      </w:r>
      <w:r w:rsidRPr="00AD0A42">
        <w:rPr>
          <w:rStyle w:val="a6"/>
          <w:rFonts w:hint="eastAsia"/>
          <w:sz w:val="28"/>
          <w:szCs w:val="28"/>
        </w:rPr>
        <w:footnoteReference w:id="30"/>
      </w:r>
      <w:r w:rsidRPr="00AD0A42">
        <w:rPr>
          <w:rFonts w:hint="eastAsia"/>
          <w:sz w:val="28"/>
          <w:szCs w:val="28"/>
          <w:lang w:eastAsia="zh-TW"/>
        </w:rPr>
        <w:t>《陳起》篇簡文所謂“單薄”，即以兩字一義</w:t>
      </w:r>
      <w:r w:rsidRPr="00AD0A42">
        <w:rPr>
          <w:rStyle w:val="a6"/>
          <w:rFonts w:hint="eastAsia"/>
          <w:sz w:val="28"/>
          <w:szCs w:val="28"/>
        </w:rPr>
        <w:footnoteReference w:id="31"/>
      </w:r>
      <w:r w:rsidRPr="00AD0A42">
        <w:rPr>
          <w:rFonts w:hint="eastAsia"/>
          <w:sz w:val="28"/>
          <w:szCs w:val="28"/>
          <w:lang w:eastAsia="zh-TW"/>
        </w:rPr>
        <w:t>述“三方三圓”中方圓之最廣大者，即“大方大圓”，其“單薄之參”，即大方大圓以三爲</w:t>
      </w:r>
      <w:r w:rsidRPr="00AD0A42">
        <w:rPr>
          <w:rFonts w:hint="eastAsia"/>
          <w:sz w:val="28"/>
          <w:szCs w:val="28"/>
          <w:lang w:eastAsia="zh-TW"/>
        </w:rPr>
        <w:lastRenderedPageBreak/>
        <w:t>每方之數，四方共十二之數，即合十二辰/字。</w:t>
      </w:r>
    </w:p>
    <w:p w14:paraId="13E10B3A"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第二，中方中圓，命曰日之七。《陳起》篇簡文有“廿八日宿”，整理者認爲其中“日”字爲衍文，</w:t>
      </w:r>
      <w:r w:rsidRPr="00AD0A42">
        <w:rPr>
          <w:rStyle w:val="a6"/>
          <w:rFonts w:hint="eastAsia"/>
          <w:sz w:val="28"/>
          <w:szCs w:val="28"/>
        </w:rPr>
        <w:footnoteReference w:id="32"/>
      </w:r>
      <w:r w:rsidRPr="00AD0A42">
        <w:rPr>
          <w:rFonts w:hint="eastAsia"/>
          <w:sz w:val="28"/>
          <w:szCs w:val="28"/>
          <w:lang w:eastAsia="zh-TW"/>
        </w:rPr>
        <w:t>恐非。《呂氏春秋》十二紀與《禮記·月令》中均有某月“日在某宿，昏在某宿，旦在某宿”的記錄，實際上是以昏旦中星法推測日所處之宿（日躔）。</w:t>
      </w:r>
      <w:r w:rsidRPr="00AD0A42">
        <w:rPr>
          <w:rStyle w:val="a6"/>
          <w:rFonts w:hint="eastAsia"/>
          <w:sz w:val="28"/>
          <w:szCs w:val="28"/>
        </w:rPr>
        <w:footnoteReference w:id="33"/>
      </w:r>
      <w:r w:rsidRPr="00AD0A42">
        <w:rPr>
          <w:rFonts w:hint="eastAsia"/>
          <w:sz w:val="28"/>
          <w:szCs w:val="28"/>
          <w:lang w:eastAsia="zh-TW"/>
        </w:rPr>
        <w:t>據此來看，《陳起》篇簡文中“廿八日宿”之“日”非但不是衍文，而且是“日之七”的命名依據，即中方中圓以七爲每方之數，四方共廿八之數，即合廿八日宿。</w:t>
      </w:r>
    </w:p>
    <w:p w14:paraId="3B786EF0"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第三，小方小圓，命曰播之五。《禮記·禮運》有“播五行於四時”之說，鄭玄注“播”爲“舒”，孔穎達釋“播”爲“播散”，</w:t>
      </w:r>
      <w:r w:rsidRPr="00AD0A42">
        <w:rPr>
          <w:rStyle w:val="a6"/>
          <w:rFonts w:hint="eastAsia"/>
          <w:sz w:val="28"/>
          <w:szCs w:val="28"/>
        </w:rPr>
        <w:footnoteReference w:id="34"/>
      </w:r>
      <w:r w:rsidRPr="00AD0A42">
        <w:rPr>
          <w:rFonts w:hint="eastAsia"/>
          <w:sz w:val="28"/>
          <w:szCs w:val="28"/>
          <w:lang w:eastAsia="zh-TW"/>
        </w:rPr>
        <w:t>即將五行分散配於四時。《陳起》篇中“播之五”之“播”當同“播五行於四時”之“播”，即以五方（東、南、西、北、中央/四隅）爲方位，將簡文中的五音、十日等數五的術數要素播散於居“三方三圓”之最內者的“小方小圓”，故簡文中陳起謂之“播之五”。</w:t>
      </w:r>
    </w:p>
    <w:p w14:paraId="1644AFE0"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通過以上關於《陳起》篇中“三方三圓”的復原及命名釋義，</w:t>
      </w:r>
      <w:r w:rsidRPr="00AD0A42">
        <w:rPr>
          <w:rFonts w:hint="eastAsia"/>
          <w:sz w:val="28"/>
          <w:szCs w:val="28"/>
          <w:lang w:eastAsia="zh-TW"/>
        </w:rPr>
        <w:lastRenderedPageBreak/>
        <w:t>本文認爲該篇“三方三圓”中三、七、五的命數並非是某種數理或幾何關係，亦非揭示兩分兩至日關於日照長短的天文記錄，而是占卜圖式中大、中、小三層方圓各自要素的配數。</w:t>
      </w:r>
    </w:p>
    <w:p w14:paraId="641BF12D"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最後談談所謂“四卦”。陳起提及以“黃鐘之副”、“單薄之三”、“日之七”、“播之五”所構成“四卦”作爲卜測天下萬事的手段，這是可以從簡文中明確的。曹方向則從今人熟悉的《周易》八卦的角度切入，將簡文中“命爲四卦”理解爲“把‘黃鐘之副’、‘三方三圓’依據四卦進行排列”，而所謂“四卦”則是“‘後天八卦圖’的‘正四卦’”——震、離、坎、兌。</w:t>
      </w:r>
      <w:r w:rsidRPr="00AD0A42">
        <w:rPr>
          <w:rStyle w:val="a6"/>
          <w:rFonts w:hint="eastAsia"/>
          <w:sz w:val="28"/>
          <w:szCs w:val="28"/>
        </w:rPr>
        <w:footnoteReference w:id="35"/>
      </w:r>
      <w:r w:rsidRPr="00AD0A42">
        <w:rPr>
          <w:rFonts w:hint="eastAsia"/>
          <w:sz w:val="28"/>
          <w:szCs w:val="28"/>
          <w:lang w:eastAsia="zh-TW"/>
        </w:rPr>
        <w:t>然而，從放馬灘秦簡《日書》的相關簡文來看，時人所稱之“卦”並非是《周易》八卦體系中“卦”的專稱，以五音、十二律爲占的占卜結果同樣可稱爲“卦”，如放馬灘秦簡《日書》乙種有“參黃鐘、古先（姑洗）、夷則之卦曰”、“大呂、中呂、南呂之卦曰”等。</w:t>
      </w:r>
      <w:r w:rsidRPr="00AD0A42">
        <w:rPr>
          <w:rStyle w:val="a6"/>
          <w:rFonts w:hint="eastAsia"/>
          <w:sz w:val="28"/>
          <w:szCs w:val="28"/>
        </w:rPr>
        <w:footnoteReference w:id="36"/>
      </w:r>
      <w:r w:rsidRPr="00AD0A42">
        <w:rPr>
          <w:rFonts w:hint="eastAsia"/>
          <w:sz w:val="28"/>
          <w:szCs w:val="28"/>
          <w:lang w:eastAsia="zh-TW"/>
        </w:rPr>
        <w:t>結合《陳起》篇簡文而言，其“三方三圓”並未提及《周易》的八卦體系，以《周易》八卦之“卦”解簡文所謂“四卦”恐不符合簡文文義。</w:t>
      </w:r>
    </w:p>
    <w:p w14:paraId="1F002C28" w14:textId="77777777" w:rsid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lastRenderedPageBreak/>
        <w:t>值得註意的是，放馬灘秦簡《日書》乙種中有關占病的部分內容可與《陳起》篇“三方三圓”的相關簡文形成關聯。其謂：</w:t>
      </w:r>
    </w:p>
    <w:p w14:paraId="2A5BB73D" w14:textId="77777777" w:rsidR="00AD0A42" w:rsidRPr="00AD0A42" w:rsidRDefault="00AD0A42" w:rsidP="00AD0A42">
      <w:pPr>
        <w:spacing w:line="360" w:lineRule="auto"/>
        <w:ind w:firstLineChars="200" w:firstLine="560"/>
        <w:jc w:val="left"/>
        <w:rPr>
          <w:rFonts w:hint="eastAsia"/>
          <w:sz w:val="28"/>
          <w:szCs w:val="28"/>
          <w:lang w:eastAsia="zh-TW"/>
        </w:rPr>
      </w:pPr>
    </w:p>
    <w:p w14:paraId="64AAC815" w14:textId="77777777" w:rsidR="00AD0A42" w:rsidRPr="00532710" w:rsidRDefault="00AD0A42" w:rsidP="00AD0A42">
      <w:pPr>
        <w:spacing w:line="360" w:lineRule="auto"/>
        <w:ind w:leftChars="200" w:left="480" w:rightChars="200" w:right="480" w:firstLineChars="200" w:firstLine="480"/>
        <w:jc w:val="left"/>
        <w:rPr>
          <w:rFonts w:ascii="楷体" w:eastAsia="楷体" w:hAnsi="楷体" w:cs="楷体" w:hint="eastAsia"/>
          <w:szCs w:val="24"/>
          <w:lang w:eastAsia="zh-TW"/>
        </w:rPr>
      </w:pPr>
      <w:r w:rsidRPr="00532710">
        <w:rPr>
          <w:rFonts w:ascii="楷体" w:eastAsia="楷体" w:hAnsi="楷体" w:cs="楷体" w:hint="eastAsia"/>
          <w:szCs w:val="24"/>
          <w:lang w:eastAsia="zh-TW"/>
        </w:rPr>
        <w:t>·占病者，以其來問時直日、辰、時，因而三之，即直【六】結四百五，而以【所】三□□【除焉】。令不足【除殹，乃】□□者曰久易，如其【餘】□，以（簡355）</w:t>
      </w:r>
    </w:p>
    <w:p w14:paraId="06CAA766" w14:textId="77777777" w:rsidR="00AD0A42" w:rsidRPr="00532710" w:rsidRDefault="00AD0A42" w:rsidP="00AD0A42">
      <w:pPr>
        <w:spacing w:line="360" w:lineRule="auto"/>
        <w:ind w:leftChars="200" w:left="480" w:rightChars="200" w:right="480" w:firstLineChars="200" w:firstLine="480"/>
        <w:jc w:val="left"/>
        <w:rPr>
          <w:rFonts w:ascii="楷体" w:eastAsia="楷体" w:hAnsi="楷体" w:cs="楷体" w:hint="eastAsia"/>
          <w:szCs w:val="24"/>
          <w:lang w:eastAsia="zh-TW"/>
        </w:rPr>
      </w:pPr>
      <w:r w:rsidRPr="00532710">
        <w:rPr>
          <w:rFonts w:ascii="楷体" w:eastAsia="楷体" w:hAnsi="楷体" w:cs="楷体" w:hint="eastAsia"/>
          <w:szCs w:val="24"/>
          <w:lang w:eastAsia="zh-TW"/>
        </w:rPr>
        <w:t>█九者首殹，八者肩、肘殹，七、六者匈（胸）、腹、腸殹，五者股、胻殹，四者【厀】（膝）、足殹。此所以【智】（知）病疵之所殹（簡343）</w:t>
      </w:r>
      <w:r w:rsidRPr="00532710">
        <w:rPr>
          <w:rStyle w:val="a6"/>
          <w:rFonts w:ascii="楷体" w:eastAsia="楷体" w:hAnsi="楷体" w:cs="楷体" w:hint="eastAsia"/>
          <w:szCs w:val="24"/>
        </w:rPr>
        <w:footnoteReference w:id="37"/>
      </w:r>
    </w:p>
    <w:p w14:paraId="7DD69F3F" w14:textId="77777777" w:rsidR="00AD0A42" w:rsidRPr="00AD0A42" w:rsidRDefault="00AD0A42" w:rsidP="00AD0A42">
      <w:pPr>
        <w:spacing w:line="360" w:lineRule="auto"/>
        <w:ind w:leftChars="200" w:left="480" w:rightChars="200" w:right="480" w:firstLineChars="200" w:firstLine="560"/>
        <w:jc w:val="left"/>
        <w:rPr>
          <w:rFonts w:ascii="楷体" w:eastAsia="楷体" w:hAnsi="楷体" w:cs="楷体" w:hint="eastAsia"/>
          <w:sz w:val="28"/>
          <w:szCs w:val="28"/>
          <w:lang w:eastAsia="zh-TW"/>
        </w:rPr>
      </w:pPr>
    </w:p>
    <w:p w14:paraId="27849866" w14:textId="77777777" w:rsidR="00AD0A42" w:rsidRPr="00AD0A42" w:rsidRDefault="00AD0A42" w:rsidP="00AD0A42">
      <w:pPr>
        <w:spacing w:line="360" w:lineRule="auto"/>
        <w:jc w:val="left"/>
        <w:rPr>
          <w:rFonts w:hint="eastAsia"/>
          <w:sz w:val="28"/>
          <w:szCs w:val="28"/>
          <w:lang w:eastAsia="zh-TW"/>
        </w:rPr>
      </w:pPr>
      <w:r w:rsidRPr="00AD0A42">
        <w:rPr>
          <w:rFonts w:hint="eastAsia"/>
          <w:sz w:val="28"/>
          <w:szCs w:val="28"/>
          <w:lang w:eastAsia="zh-TW"/>
        </w:rPr>
        <w:t>其中日、辰、時乃至五音、十二律、廿八宿在放馬灘秦簡中都有具體的配數方案，</w:t>
      </w:r>
      <w:r w:rsidRPr="00AD0A42">
        <w:rPr>
          <w:rStyle w:val="a6"/>
          <w:rFonts w:hint="eastAsia"/>
          <w:sz w:val="28"/>
          <w:szCs w:val="28"/>
        </w:rPr>
        <w:footnoteReference w:id="38"/>
      </w:r>
      <w:r w:rsidRPr="00AD0A42">
        <w:rPr>
          <w:rFonts w:hint="eastAsia"/>
          <w:sz w:val="28"/>
          <w:szCs w:val="28"/>
          <w:lang w:eastAsia="zh-TW"/>
        </w:rPr>
        <w:t>儘管今人對於其中運數卜測的具體過程尚未能明晰，但可與《陳起》篇中“瘳與死畢有數”印證，表明該篇“三方三圓”乃至“四卦”的占卜體系並非是《周易》的筮占方式，而可能是《日書》系統的占卜體系。進而言之，圖8所復原的圖式形式可能正是《日書》系統卜者的占卜工具。</w:t>
      </w:r>
    </w:p>
    <w:p w14:paraId="24D73834" w14:textId="77777777" w:rsidR="00AD0A42" w:rsidRPr="00AD0A42" w:rsidRDefault="00AD0A42" w:rsidP="00AD0A42">
      <w:pPr>
        <w:spacing w:line="360" w:lineRule="auto"/>
        <w:jc w:val="left"/>
        <w:rPr>
          <w:rFonts w:hint="eastAsia"/>
          <w:sz w:val="28"/>
          <w:szCs w:val="28"/>
          <w:lang w:eastAsia="zh-TW"/>
        </w:rPr>
      </w:pPr>
    </w:p>
    <w:p w14:paraId="6F93F0BD" w14:textId="77777777" w:rsidR="00AD0A42" w:rsidRDefault="00AD0A42" w:rsidP="00AD0A42">
      <w:pPr>
        <w:spacing w:line="360" w:lineRule="auto"/>
        <w:jc w:val="left"/>
        <w:rPr>
          <w:rFonts w:ascii="黑体" w:eastAsia="黑体" w:hAnsi="黑体" w:cs="黑体" w:hint="eastAsia"/>
          <w:sz w:val="28"/>
          <w:szCs w:val="28"/>
          <w:lang w:eastAsia="zh-TW"/>
        </w:rPr>
      </w:pPr>
      <w:r w:rsidRPr="00AD0A42">
        <w:rPr>
          <w:rFonts w:ascii="黑体" w:eastAsia="黑体" w:hAnsi="黑体" w:cs="黑体" w:hint="eastAsia"/>
          <w:sz w:val="28"/>
          <w:szCs w:val="28"/>
          <w:lang w:eastAsia="zh-TW"/>
        </w:rPr>
        <w:t>三、結語</w:t>
      </w:r>
    </w:p>
    <w:p w14:paraId="32B71665" w14:textId="77777777" w:rsidR="00AD0A42" w:rsidRPr="00AD0A42" w:rsidRDefault="00AD0A42" w:rsidP="00AD0A42">
      <w:pPr>
        <w:spacing w:line="360" w:lineRule="auto"/>
        <w:jc w:val="left"/>
        <w:rPr>
          <w:rFonts w:ascii="黑体" w:eastAsia="黑体" w:hAnsi="黑体" w:cs="黑体" w:hint="eastAsia"/>
          <w:sz w:val="28"/>
          <w:szCs w:val="28"/>
          <w:lang w:eastAsia="zh-TW"/>
        </w:rPr>
      </w:pPr>
    </w:p>
    <w:p w14:paraId="1987784D" w14:textId="77777777" w:rsidR="00AD0A42" w:rsidRPr="00AD0A42" w:rsidRDefault="00AD0A42" w:rsidP="00AD0A42">
      <w:pPr>
        <w:spacing w:line="360" w:lineRule="auto"/>
        <w:ind w:firstLineChars="200" w:firstLine="560"/>
        <w:jc w:val="left"/>
        <w:rPr>
          <w:rFonts w:hint="eastAsia"/>
          <w:sz w:val="28"/>
          <w:szCs w:val="28"/>
          <w:lang w:eastAsia="zh-TW"/>
        </w:rPr>
      </w:pPr>
      <w:r w:rsidRPr="00AD0A42">
        <w:rPr>
          <w:rFonts w:hint="eastAsia"/>
          <w:sz w:val="28"/>
          <w:szCs w:val="28"/>
          <w:lang w:eastAsia="zh-TW"/>
        </w:rPr>
        <w:t>出土文獻字詞的釋讀，固然常需借助該文本以外的辭例來驗證；但文本自身的文義脈絡，同樣是不容忽視的理解依據。對於通常自成一系統的思想類出土文獻而言，後者尤其如此。據《陳起》篇文本的內容分析，該篇中“三方三圓”體系並非是任何數理幾何意義的宇宙結構或天文模型，而是要素豐富的占卜圖式，“三方三圓”中的三、七、五之間也並非是數理關係，而是“三方三圓”占卜圖式上的要素配數。這一認識，不僅深化了對《魯久次問數於陳起》的文本內涵的認識，也有助於更爲完整地理解“數”對於戰國秦漢時人的意義，從而更深入理解戰國秦漢時人的“一般知識與思想”</w:t>
      </w:r>
      <w:r w:rsidRPr="00AD0A42">
        <w:rPr>
          <w:rStyle w:val="a6"/>
          <w:rFonts w:hint="eastAsia"/>
          <w:sz w:val="28"/>
          <w:szCs w:val="28"/>
        </w:rPr>
        <w:footnoteReference w:id="39"/>
      </w:r>
      <w:r w:rsidRPr="00AD0A42">
        <w:rPr>
          <w:rFonts w:hint="eastAsia"/>
          <w:sz w:val="28"/>
          <w:szCs w:val="28"/>
          <w:lang w:eastAsia="zh-TW"/>
        </w:rPr>
        <w:t>的面相。</w:t>
      </w:r>
    </w:p>
    <w:p w14:paraId="14CE40FC" w14:textId="6E397F51" w:rsidR="009F33F6" w:rsidRPr="00AD0A42" w:rsidRDefault="009F33F6" w:rsidP="00AD0A42">
      <w:pPr>
        <w:rPr>
          <w:rFonts w:hint="eastAsia"/>
          <w:sz w:val="28"/>
          <w:szCs w:val="28"/>
          <w:lang w:eastAsia="zh-TW"/>
        </w:rPr>
      </w:pPr>
    </w:p>
    <w:sectPr w:rsidR="009F33F6" w:rsidRPr="00AD0A42">
      <w:headerReference w:type="default" r:id="rId16"/>
      <w:footerReference w:type="even" r:id="rId17"/>
      <w:footerReference w:type="default" r:id="rId18"/>
      <w:endnotePr>
        <w:numFmt w:val="decimal"/>
      </w:endnotePr>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D6A93" w14:textId="77777777" w:rsidR="008575DC" w:rsidRDefault="008575DC" w:rsidP="00CB0024">
      <w:pPr>
        <w:rPr>
          <w:rFonts w:hint="eastAsia"/>
        </w:rPr>
      </w:pPr>
      <w:r>
        <w:separator/>
      </w:r>
    </w:p>
  </w:endnote>
  <w:endnote w:type="continuationSeparator" w:id="0">
    <w:p w14:paraId="32B66A1A" w14:textId="77777777" w:rsidR="008575DC" w:rsidRDefault="008575DC" w:rsidP="00CB002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FKai-SB">
    <w:altName w:val="微软雅黑"/>
    <w:charset w:val="88"/>
    <w:family w:val="script"/>
    <w:pitch w:val="fixed"/>
    <w:sig w:usb0="00000003" w:usb1="080E0000" w:usb2="00000016" w:usb3="00000000" w:csb0="00100001" w:csb1="00000000"/>
  </w:font>
  <w:font w:name="TimesNewRomanPS-BoldMT">
    <w:altName w:val="微软雅黑"/>
    <w:charset w:val="00"/>
    <w:family w:val="roman"/>
    <w:pitch w:val="default"/>
    <w:sig w:usb0="00000000" w:usb1="00000000" w:usb2="00000001" w:usb3="00000000" w:csb0="400001BF" w:csb1="DFF70000"/>
  </w:font>
  <w:font w:name="Batang">
    <w:altName w:val="바탕"/>
    <w:panose1 w:val="02030600000101010101"/>
    <w:charset w:val="81"/>
    <w:family w:val="roman"/>
    <w:pitch w:val="variable"/>
    <w:sig w:usb0="B00002AF" w:usb1="69D77CFB" w:usb2="00000030" w:usb3="00000000" w:csb0="0008009F" w:csb1="00000000"/>
  </w:font>
  <w:font w:name="New Gulim">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ˎ̥">
    <w:altName w:val="Times New Roman"/>
    <w:charset w:val="00"/>
    <w:family w:val="roman"/>
    <w:pitch w:val="default"/>
    <w:sig w:usb0="00000000" w:usb1="00000000" w:usb2="00000000" w:usb3="00000000" w:csb0="00040001" w:csb1="00000000"/>
  </w:font>
  <w:font w:name="经典繁超宋">
    <w:altName w:val="宋体"/>
    <w:charset w:val="86"/>
    <w:family w:val="roman"/>
    <w:pitch w:val="default"/>
  </w:font>
  <w:font w:name="宋体-方正超大字符集">
    <w:altName w:val="宋体"/>
    <w:charset w:val="86"/>
    <w:family w:val="script"/>
    <w:pitch w:val="default"/>
    <w:sig w:usb0="00000000" w:usb1="00000000" w:usb2="00000010" w:usb3="00000000" w:csb0="00040000" w:csb1="00000000"/>
  </w:font>
  <w:font w:name="控呇湮佽恅苤蚼">
    <w:altName w:val="Microsoft JhengHei"/>
    <w:charset w:val="88"/>
    <w:family w:val="modern"/>
    <w:pitch w:val="fixed"/>
    <w:sig w:usb0="00000001" w:usb1="08080000" w:usb2="00000010" w:usb3="00000000" w:csb0="00100000" w:csb1="00000000"/>
  </w:font>
  <w:font w:name="KaiXinSong">
    <w:altName w:val="Microsoft JhengHei"/>
    <w:charset w:val="00"/>
    <w:family w:val="modern"/>
    <w:pitch w:val="default"/>
    <w:sig w:usb0="00000000" w:usb1="00000000" w:usb2="04000016" w:usb3="00000000" w:csb0="00000001" w:csb1="00000000"/>
  </w:font>
  <w:font w:name="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3C94" w14:textId="77777777" w:rsidR="003E6BB9" w:rsidRDefault="003E6BB9" w:rsidP="008657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CBCAED1" w14:textId="77777777" w:rsidR="003E6BB9" w:rsidRDefault="003E6BB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0842" w14:textId="7F3EE86D" w:rsidR="003E6BB9" w:rsidRPr="00CF5EB2" w:rsidRDefault="003E6BB9" w:rsidP="001809D2">
    <w:pPr>
      <w:tabs>
        <w:tab w:val="center" w:pos="4153"/>
        <w:tab w:val="right" w:pos="8306"/>
      </w:tabs>
      <w:rPr>
        <w:rFonts w:hint="eastAsia"/>
        <w:sz w:val="18"/>
        <w:szCs w:val="18"/>
      </w:rPr>
    </w:pPr>
    <w:r>
      <w:rPr>
        <w:rFonts w:hint="eastAsia"/>
        <w:sz w:val="18"/>
        <w:szCs w:val="18"/>
      </w:rPr>
      <w:t>收稿日期：2026年10月</w:t>
    </w:r>
    <w:r w:rsidR="001809D2">
      <w:rPr>
        <w:rFonts w:hint="eastAsia"/>
        <w:sz w:val="18"/>
        <w:szCs w:val="18"/>
      </w:rPr>
      <w:t>21</w:t>
    </w:r>
    <w:r>
      <w:rPr>
        <w:rFonts w:hint="eastAsia"/>
        <w:sz w:val="18"/>
        <w:szCs w:val="18"/>
      </w:rPr>
      <w:t>日</w:t>
    </w:r>
    <w:r>
      <w:rPr>
        <w:rFonts w:hint="eastAsia"/>
        <w:sz w:val="18"/>
        <w:szCs w:val="18"/>
      </w:rPr>
      <w:tab/>
      <w:t>发布日期：2026年10月</w:t>
    </w:r>
    <w:r w:rsidR="001809D2">
      <w:rPr>
        <w:rFonts w:hint="eastAsia"/>
        <w:sz w:val="18"/>
        <w:szCs w:val="18"/>
      </w:rPr>
      <w:t>22</w:t>
    </w:r>
    <w:r>
      <w:rPr>
        <w:rFonts w:hint="eastAsia"/>
        <w:sz w:val="18"/>
        <w:szCs w:val="18"/>
      </w:rPr>
      <w:t>日</w:t>
    </w:r>
    <w:r>
      <w:rPr>
        <w:rFonts w:hint="eastAsia"/>
        <w:sz w:val="18"/>
        <w:szCs w:val="18"/>
      </w:rPr>
      <w:tab/>
      <w:t>页码：</w:t>
    </w:r>
    <w:r>
      <w:rPr>
        <w:rFonts w:hint="eastAsia"/>
        <w:sz w:val="18"/>
        <w:szCs w:val="18"/>
      </w:rPr>
      <w:fldChar w:fldCharType="begin"/>
    </w:r>
    <w:r>
      <w:rPr>
        <w:rFonts w:hint="eastAsia"/>
        <w:sz w:val="18"/>
        <w:szCs w:val="18"/>
      </w:rPr>
      <w:instrText xml:space="preserve"> PAGE </w:instrText>
    </w:r>
    <w:r>
      <w:rPr>
        <w:rFonts w:hint="eastAsia"/>
        <w:sz w:val="18"/>
        <w:szCs w:val="18"/>
      </w:rPr>
      <w:fldChar w:fldCharType="separate"/>
    </w:r>
    <w:r>
      <w:rPr>
        <w:rFonts w:hint="eastAsia"/>
        <w:sz w:val="18"/>
        <w:szCs w:val="18"/>
      </w:rPr>
      <w:t>1</w:t>
    </w:r>
    <w:r>
      <w:rPr>
        <w:rFonts w:hint="eastAsia"/>
        <w:sz w:val="18"/>
        <w:szCs w:val="18"/>
      </w:rPr>
      <w:fldChar w:fldCharType="end"/>
    </w:r>
    <w:r>
      <w:rPr>
        <w:rFonts w:hint="eastAsia"/>
        <w:sz w:val="18"/>
        <w:szCs w:val="18"/>
      </w:rPr>
      <w:t>/</w:t>
    </w:r>
    <w:r>
      <w:rPr>
        <w:rFonts w:hint="eastAsia"/>
        <w:sz w:val="18"/>
        <w:szCs w:val="18"/>
      </w:rPr>
      <w:fldChar w:fldCharType="begin"/>
    </w:r>
    <w:r>
      <w:rPr>
        <w:rFonts w:hint="eastAsia"/>
        <w:sz w:val="18"/>
        <w:szCs w:val="18"/>
      </w:rPr>
      <w:instrText xml:space="preserve"> NUMPAGES </w:instrText>
    </w:r>
    <w:r>
      <w:rPr>
        <w:rFonts w:hint="eastAsia"/>
        <w:sz w:val="18"/>
        <w:szCs w:val="18"/>
      </w:rPr>
      <w:fldChar w:fldCharType="separate"/>
    </w:r>
    <w:r>
      <w:rPr>
        <w:rFonts w:hint="eastAsia"/>
        <w:sz w:val="18"/>
        <w:szCs w:val="18"/>
      </w:rPr>
      <w:t>10</w:t>
    </w:r>
    <w:r>
      <w:rPr>
        <w:rFonts w:hint="eastAsi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98E26" w14:textId="77777777" w:rsidR="008575DC" w:rsidRDefault="008575DC" w:rsidP="00DD1D47">
      <w:pPr>
        <w:rPr>
          <w:rFonts w:hint="eastAsia"/>
        </w:rPr>
      </w:pPr>
      <w:r>
        <w:separator/>
      </w:r>
    </w:p>
  </w:footnote>
  <w:footnote w:type="continuationSeparator" w:id="0">
    <w:p w14:paraId="56B31DD2" w14:textId="77777777" w:rsidR="008575DC" w:rsidRDefault="008575DC" w:rsidP="00DD1D47">
      <w:pPr>
        <w:rPr>
          <w:rFonts w:hint="eastAsia"/>
        </w:rPr>
      </w:pPr>
      <w:r>
        <w:continuationSeparator/>
      </w:r>
    </w:p>
  </w:footnote>
  <w:footnote w:id="1">
    <w:p w14:paraId="7D1EDC57" w14:textId="77777777" w:rsidR="00AD0A42" w:rsidRDefault="00AD0A42" w:rsidP="00AD0A42">
      <w:pPr>
        <w:pStyle w:val="a5"/>
      </w:pPr>
      <w:r>
        <w:rPr>
          <w:rStyle w:val="a6"/>
        </w:rPr>
        <w:footnoteRef/>
      </w:r>
      <w:r>
        <w:t xml:space="preserve"> </w:t>
      </w:r>
      <w:r>
        <w:rPr>
          <w:rFonts w:hint="eastAsia"/>
        </w:rPr>
        <w:t>北京大學出土文獻與古代文明研究所編：《北京大學藏秦簡牘》，上海：上海古籍出版社，</w:t>
      </w:r>
      <w:r>
        <w:rPr>
          <w:rFonts w:hint="eastAsia"/>
        </w:rPr>
        <w:t>2023</w:t>
      </w:r>
      <w:r>
        <w:rPr>
          <w:rFonts w:hint="eastAsia"/>
        </w:rPr>
        <w:t>年，第</w:t>
      </w:r>
      <w:r>
        <w:rPr>
          <w:rFonts w:hint="eastAsia"/>
        </w:rPr>
        <w:t>747</w:t>
      </w:r>
      <w:r>
        <w:rPr>
          <w:rFonts w:hint="eastAsia"/>
        </w:rPr>
        <w:t>頁。</w:t>
      </w:r>
    </w:p>
  </w:footnote>
  <w:footnote w:id="2">
    <w:p w14:paraId="77BB1941" w14:textId="77777777" w:rsidR="00AD0A42" w:rsidRDefault="00AD0A42" w:rsidP="00AD0A42">
      <w:pPr>
        <w:pStyle w:val="a5"/>
      </w:pPr>
      <w:r>
        <w:rPr>
          <w:rStyle w:val="a6"/>
        </w:rPr>
        <w:footnoteRef/>
      </w:r>
      <w:r>
        <w:t xml:space="preserve"> </w:t>
      </w:r>
      <w:r>
        <w:rPr>
          <w:rFonts w:hint="eastAsia"/>
        </w:rPr>
        <w:t>韓巍：《北大秦簡中的數學文獻》，《文物》</w:t>
      </w:r>
      <w:r>
        <w:rPr>
          <w:rFonts w:hint="eastAsia"/>
        </w:rPr>
        <w:t>2012</w:t>
      </w:r>
      <w:r>
        <w:rPr>
          <w:rFonts w:hint="eastAsia"/>
        </w:rPr>
        <w:t>年第</w:t>
      </w:r>
      <w:r>
        <w:rPr>
          <w:rFonts w:hint="eastAsia"/>
        </w:rPr>
        <w:t>6</w:t>
      </w:r>
      <w:r>
        <w:rPr>
          <w:rFonts w:hint="eastAsia"/>
        </w:rPr>
        <w:t>期。又韓巍：《北大藏秦簡〈魯久次問數於陳起〉初讀》，《北京大學學報》（哲學社會科學版）</w:t>
      </w:r>
      <w:r>
        <w:rPr>
          <w:rFonts w:hint="eastAsia"/>
        </w:rPr>
        <w:t>2015</w:t>
      </w:r>
      <w:r>
        <w:rPr>
          <w:rFonts w:hint="eastAsia"/>
        </w:rPr>
        <w:t>年第</w:t>
      </w:r>
      <w:r>
        <w:rPr>
          <w:rFonts w:hint="eastAsia"/>
        </w:rPr>
        <w:t>3</w:t>
      </w:r>
      <w:r>
        <w:rPr>
          <w:rFonts w:hint="eastAsia"/>
        </w:rPr>
        <w:t>期。韓巍在後文中認爲，“地方三重，天員（圓）三重”之說未見於傳世文獻，並提及中國古代多言具有垂直高度意義的“九天”，而《陳起》篇的“三方三圓”是大中小層層相套、由外而內的平面結構，與傳統的“九天”之說完全不同，其具體含義和思想淵源有待繼續探討。</w:t>
      </w:r>
    </w:p>
  </w:footnote>
  <w:footnote w:id="3">
    <w:p w14:paraId="5FC4D13E" w14:textId="77777777" w:rsidR="00AD0A42" w:rsidRDefault="00AD0A42" w:rsidP="00AD0A42">
      <w:pPr>
        <w:pStyle w:val="a5"/>
      </w:pPr>
      <w:r>
        <w:rPr>
          <w:rStyle w:val="a6"/>
        </w:rPr>
        <w:footnoteRef/>
      </w:r>
      <w:r>
        <w:t xml:space="preserve"> </w:t>
      </w:r>
      <w:r>
        <w:rPr>
          <w:rFonts w:hint="eastAsia"/>
          <w:lang w:eastAsia="zh-CN"/>
        </w:rPr>
        <w:t>曹方向：《初讀北大秦簡〈魯久次問</w:t>
      </w:r>
      <w:r>
        <w:rPr>
          <w:rFonts w:hint="eastAsia"/>
          <w:lang w:eastAsia="zh-CN"/>
        </w:rPr>
        <w:t>數於陳起〉》，</w:t>
      </w:r>
      <w:r>
        <w:rPr>
          <w:rFonts w:hint="eastAsia"/>
          <w:lang w:eastAsia="zh-CN"/>
        </w:rPr>
        <w:t>http://www.bsm.org.cn/?qinjian/6521.html</w:t>
      </w:r>
      <w:r>
        <w:rPr>
          <w:rFonts w:hint="eastAsia"/>
          <w:lang w:eastAsia="zh-CN"/>
        </w:rPr>
        <w:t>，訪問時間：</w:t>
      </w:r>
      <w:r>
        <w:rPr>
          <w:rFonts w:hint="eastAsia"/>
          <w:lang w:eastAsia="zh-CN"/>
        </w:rPr>
        <w:t>2026</w:t>
      </w:r>
      <w:r>
        <w:rPr>
          <w:rFonts w:hint="eastAsia"/>
          <w:lang w:eastAsia="zh-CN"/>
        </w:rPr>
        <w:t>年</w:t>
      </w:r>
      <w:r>
        <w:rPr>
          <w:rFonts w:hint="eastAsia"/>
          <w:lang w:eastAsia="zh-CN"/>
        </w:rPr>
        <w:t>7</w:t>
      </w:r>
      <w:r>
        <w:rPr>
          <w:rFonts w:hint="eastAsia"/>
          <w:lang w:eastAsia="zh-CN"/>
        </w:rPr>
        <w:t>月</w:t>
      </w:r>
      <w:r>
        <w:rPr>
          <w:rFonts w:hint="eastAsia"/>
          <w:lang w:eastAsia="zh-CN"/>
        </w:rPr>
        <w:t>1</w:t>
      </w:r>
      <w:r>
        <w:rPr>
          <w:rFonts w:hint="eastAsia"/>
          <w:lang w:eastAsia="zh-CN"/>
        </w:rPr>
        <w:t>日。</w:t>
      </w:r>
      <w:r>
        <w:rPr>
          <w:rFonts w:hint="eastAsia"/>
        </w:rPr>
        <w:t>又曹方向：《北大秦簡〈魯久次問數於陳起〉衡間圖淺探》，陳偉主編：《簡帛》第</w:t>
      </w:r>
      <w:r>
        <w:rPr>
          <w:rFonts w:hint="eastAsia"/>
        </w:rPr>
        <w:t>16</w:t>
      </w:r>
      <w:r>
        <w:rPr>
          <w:rFonts w:hint="eastAsia"/>
        </w:rPr>
        <w:t>輯，上海：上海古籍出版社，</w:t>
      </w:r>
      <w:r>
        <w:rPr>
          <w:rFonts w:hint="eastAsia"/>
        </w:rPr>
        <w:t>2018</w:t>
      </w:r>
      <w:r>
        <w:rPr>
          <w:rFonts w:hint="eastAsia"/>
        </w:rPr>
        <w:t>年，第</w:t>
      </w:r>
      <w:r>
        <w:rPr>
          <w:rFonts w:hint="eastAsia"/>
        </w:rPr>
        <w:t>119-129</w:t>
      </w:r>
      <w:r>
        <w:rPr>
          <w:rFonts w:hint="eastAsia"/>
        </w:rPr>
        <w:t>頁。</w:t>
      </w:r>
    </w:p>
  </w:footnote>
  <w:footnote w:id="4">
    <w:p w14:paraId="1C9C1077" w14:textId="77777777" w:rsidR="00AD0A42" w:rsidRDefault="00AD0A42" w:rsidP="00AD0A42">
      <w:pPr>
        <w:pStyle w:val="a5"/>
      </w:pPr>
      <w:r>
        <w:rPr>
          <w:rStyle w:val="a6"/>
        </w:rPr>
        <w:footnoteRef/>
      </w:r>
      <w:r>
        <w:t xml:space="preserve"> </w:t>
      </w:r>
      <w:r>
        <w:rPr>
          <w:rFonts w:hint="eastAsia"/>
        </w:rPr>
        <w:t>陳鐿文、曲安京：《北大秦簡〈魯久次問數於陳起〉中的宇宙模型》，《文物》</w:t>
      </w:r>
      <w:r>
        <w:rPr>
          <w:rFonts w:hint="eastAsia"/>
        </w:rPr>
        <w:t>2017</w:t>
      </w:r>
      <w:r>
        <w:rPr>
          <w:rFonts w:hint="eastAsia"/>
        </w:rPr>
        <w:t>年第</w:t>
      </w:r>
      <w:r>
        <w:rPr>
          <w:rFonts w:hint="eastAsia"/>
        </w:rPr>
        <w:t>3</w:t>
      </w:r>
      <w:r>
        <w:rPr>
          <w:rFonts w:hint="eastAsia"/>
        </w:rPr>
        <w:t>期。陳、曲之“三方三圓”數理幾何模型得到部分研究者的認同，並將之與考古資料進行印證。如趙燕林：《敦煌早期石窟中的“三方三圓”宇宙模型》，《自然辯證法研究》</w:t>
      </w:r>
      <w:r>
        <w:rPr>
          <w:rFonts w:hint="eastAsia"/>
        </w:rPr>
        <w:t>2019</w:t>
      </w:r>
      <w:r>
        <w:rPr>
          <w:rFonts w:hint="eastAsia"/>
        </w:rPr>
        <w:t>年第</w:t>
      </w:r>
      <w:r>
        <w:rPr>
          <w:rFonts w:hint="eastAsia"/>
        </w:rPr>
        <w:t>7</w:t>
      </w:r>
      <w:r>
        <w:rPr>
          <w:rFonts w:hint="eastAsia"/>
        </w:rPr>
        <w:t>期；西北大學文化遺產學院等：《陝西三原天井岸漢代禮制建築遺址（天井坑遺址）勘探簡報》，《文物》</w:t>
      </w:r>
      <w:r>
        <w:rPr>
          <w:rFonts w:hint="eastAsia"/>
        </w:rPr>
        <w:t>2019</w:t>
      </w:r>
      <w:r>
        <w:rPr>
          <w:rFonts w:hint="eastAsia"/>
        </w:rPr>
        <w:t>年第</w:t>
      </w:r>
      <w:r>
        <w:rPr>
          <w:rFonts w:hint="eastAsia"/>
        </w:rPr>
        <w:t>12</w:t>
      </w:r>
      <w:r>
        <w:rPr>
          <w:rFonts w:hint="eastAsia"/>
        </w:rPr>
        <w:t>期；姜生、馬源：《規天矩地：漢墓建築佈局的典型形式與意義》，《復旦學報》（社會科學版）</w:t>
      </w:r>
      <w:r>
        <w:rPr>
          <w:rFonts w:hint="eastAsia"/>
        </w:rPr>
        <w:t>2021</w:t>
      </w:r>
      <w:r>
        <w:rPr>
          <w:rFonts w:hint="eastAsia"/>
        </w:rPr>
        <w:t>年第</w:t>
      </w:r>
      <w:r>
        <w:rPr>
          <w:rFonts w:hint="eastAsia"/>
        </w:rPr>
        <w:t>4</w:t>
      </w:r>
      <w:r>
        <w:rPr>
          <w:rFonts w:hint="eastAsia"/>
        </w:rPr>
        <w:t>期；何一昊：《東周秦漢時期天神祭祀的考古學觀察》，《文物》</w:t>
      </w:r>
      <w:r>
        <w:rPr>
          <w:rFonts w:hint="eastAsia"/>
        </w:rPr>
        <w:t>2024</w:t>
      </w:r>
      <w:r>
        <w:rPr>
          <w:rFonts w:hint="eastAsia"/>
        </w:rPr>
        <w:t>年第</w:t>
      </w:r>
      <w:r>
        <w:rPr>
          <w:rFonts w:hint="eastAsia"/>
        </w:rPr>
        <w:t>6</w:t>
      </w:r>
      <w:r>
        <w:rPr>
          <w:rFonts w:hint="eastAsia"/>
        </w:rPr>
        <w:t>期等。</w:t>
      </w:r>
    </w:p>
  </w:footnote>
  <w:footnote w:id="5">
    <w:p w14:paraId="2A307003" w14:textId="77777777" w:rsidR="00AD0A42" w:rsidRDefault="00AD0A42" w:rsidP="00AD0A42">
      <w:pPr>
        <w:pStyle w:val="a5"/>
      </w:pPr>
      <w:r>
        <w:rPr>
          <w:rStyle w:val="a6"/>
        </w:rPr>
        <w:footnoteRef/>
      </w:r>
      <w:r>
        <w:t xml:space="preserve"> </w:t>
      </w:r>
      <w:r>
        <w:rPr>
          <w:rFonts w:hint="eastAsia"/>
        </w:rPr>
        <w:t>北京大學出土文獻與古代文明研究所編：《北京大學藏秦簡牘》，第</w:t>
      </w:r>
      <w:r>
        <w:rPr>
          <w:rFonts w:hint="eastAsia"/>
        </w:rPr>
        <w:t>749-750</w:t>
      </w:r>
      <w:r>
        <w:rPr>
          <w:rFonts w:hint="eastAsia"/>
        </w:rPr>
        <w:t>頁。</w:t>
      </w:r>
    </w:p>
  </w:footnote>
  <w:footnote w:id="6">
    <w:p w14:paraId="1F45E135" w14:textId="77777777" w:rsidR="00AD0A42" w:rsidRDefault="00AD0A42" w:rsidP="00AD0A42">
      <w:pPr>
        <w:pStyle w:val="a5"/>
      </w:pPr>
      <w:r>
        <w:rPr>
          <w:rStyle w:val="a6"/>
        </w:rPr>
        <w:footnoteRef/>
      </w:r>
      <w:r>
        <w:t xml:space="preserve"> </w:t>
      </w:r>
      <w:r>
        <w:rPr>
          <w:rFonts w:hint="eastAsia"/>
        </w:rPr>
        <w:t>日爲晝，月爲夜，出土文獻中見有以數記錄各月晝夜長短及一歲變化的內容，如睡虎地秦簡日書甲乙種各有《日夕》一篇，放馬灘秦簡日書有《日夜》一篇、香港中文大學文物館藏漢簡也有《日夜表》簡二枚。以上內容分別見陳偉主編：《秦簡牘合集</w:t>
      </w:r>
      <w:r>
        <w:rPr>
          <w:rFonts w:hint="eastAsia"/>
        </w:rPr>
        <w:t>.</w:t>
      </w:r>
      <w:r>
        <w:rPr>
          <w:rFonts w:hint="eastAsia"/>
        </w:rPr>
        <w:t>釋文注釋修訂本（壹、貳）》，武漢：武漢大學出版社，</w:t>
      </w:r>
      <w:r>
        <w:rPr>
          <w:rFonts w:hint="eastAsia"/>
        </w:rPr>
        <w:t>2016</w:t>
      </w:r>
      <w:r>
        <w:rPr>
          <w:rFonts w:hint="eastAsia"/>
        </w:rPr>
        <w:t>年，第</w:t>
      </w:r>
      <w:r>
        <w:rPr>
          <w:rFonts w:hint="eastAsia"/>
        </w:rPr>
        <w:t>362</w:t>
      </w:r>
      <w:r>
        <w:rPr>
          <w:rFonts w:hint="eastAsia"/>
        </w:rPr>
        <w:t>、</w:t>
      </w:r>
      <w:r>
        <w:rPr>
          <w:rFonts w:hint="eastAsia"/>
        </w:rPr>
        <w:t>445-446</w:t>
      </w:r>
      <w:r>
        <w:rPr>
          <w:rFonts w:hint="eastAsia"/>
        </w:rPr>
        <w:t>頁；陳偉主編：《秦簡牘合集</w:t>
      </w:r>
      <w:r>
        <w:rPr>
          <w:rFonts w:hint="eastAsia"/>
        </w:rPr>
        <w:t>.</w:t>
      </w:r>
      <w:r>
        <w:rPr>
          <w:rFonts w:hint="eastAsia"/>
        </w:rPr>
        <w:t>釋文注釋修訂本（肆）》，武漢：武漢大學出版社，</w:t>
      </w:r>
      <w:r>
        <w:rPr>
          <w:rFonts w:hint="eastAsia"/>
        </w:rPr>
        <w:t>2016</w:t>
      </w:r>
      <w:r>
        <w:rPr>
          <w:rFonts w:hint="eastAsia"/>
        </w:rPr>
        <w:t>年，第</w:t>
      </w:r>
      <w:r>
        <w:rPr>
          <w:rFonts w:hint="eastAsia"/>
        </w:rPr>
        <w:t>48-49</w:t>
      </w:r>
      <w:r>
        <w:rPr>
          <w:rFonts w:hint="eastAsia"/>
        </w:rPr>
        <w:t>頁；陳長松編著：《香港中文大學文物館藏簡牘》，香港：香港中文大學文物館，</w:t>
      </w:r>
      <w:r>
        <w:rPr>
          <w:rFonts w:hint="eastAsia"/>
        </w:rPr>
        <w:t>2001</w:t>
      </w:r>
      <w:r>
        <w:rPr>
          <w:rFonts w:hint="eastAsia"/>
        </w:rPr>
        <w:t>年，第</w:t>
      </w:r>
      <w:r>
        <w:rPr>
          <w:rFonts w:hint="eastAsia"/>
        </w:rPr>
        <w:t>40</w:t>
      </w:r>
      <w:r>
        <w:rPr>
          <w:rFonts w:hint="eastAsia"/>
        </w:rPr>
        <w:t>頁。</w:t>
      </w:r>
    </w:p>
  </w:footnote>
  <w:footnote w:id="7">
    <w:p w14:paraId="56DD77FB" w14:textId="77777777" w:rsidR="00AD0A42" w:rsidRDefault="00AD0A42" w:rsidP="00AD0A42">
      <w:pPr>
        <w:pStyle w:val="a5"/>
      </w:pPr>
      <w:r>
        <w:rPr>
          <w:rStyle w:val="a6"/>
        </w:rPr>
        <w:footnoteRef/>
      </w:r>
      <w:r>
        <w:t xml:space="preserve"> </w:t>
      </w:r>
      <w:r>
        <w:rPr>
          <w:rFonts w:hint="eastAsia"/>
        </w:rPr>
        <w:t>《孟子·離婁上》謂：“聖人既竭目力焉，繼之以規矩準繩，以爲方員平直，不可勝用也。”《說文》謂：“水，準也”，段玉裁注曰：“天下莫平於水，故匠人建國必水地”。分見〔清〕焦循撰：《孟子正義》卷</w:t>
      </w:r>
      <w:r>
        <w:rPr>
          <w:rFonts w:hint="eastAsia"/>
        </w:rPr>
        <w:t>14</w:t>
      </w:r>
      <w:r>
        <w:rPr>
          <w:rFonts w:hint="eastAsia"/>
        </w:rPr>
        <w:t>，沈文倬點校，北京：中華書局，</w:t>
      </w:r>
      <w:r>
        <w:rPr>
          <w:rFonts w:hint="eastAsia"/>
        </w:rPr>
        <w:t>1987</w:t>
      </w:r>
      <w:r>
        <w:rPr>
          <w:rFonts w:hint="eastAsia"/>
        </w:rPr>
        <w:t>年，第</w:t>
      </w:r>
      <w:r>
        <w:rPr>
          <w:rFonts w:hint="eastAsia"/>
        </w:rPr>
        <w:t>485</w:t>
      </w:r>
      <w:r>
        <w:rPr>
          <w:rFonts w:hint="eastAsia"/>
        </w:rPr>
        <w:t>頁；〔清〕段玉裁：《說文解字注》第</w:t>
      </w:r>
      <w:r>
        <w:rPr>
          <w:rFonts w:hint="eastAsia"/>
        </w:rPr>
        <w:t>11</w:t>
      </w:r>
      <w:r>
        <w:rPr>
          <w:rFonts w:hint="eastAsia"/>
        </w:rPr>
        <w:t>篇上，北京：中華書局，</w:t>
      </w:r>
      <w:r>
        <w:rPr>
          <w:rFonts w:hint="eastAsia"/>
        </w:rPr>
        <w:t>2013</w:t>
      </w:r>
      <w:r>
        <w:rPr>
          <w:rFonts w:hint="eastAsia"/>
        </w:rPr>
        <w:t>年，第</w:t>
      </w:r>
      <w:r>
        <w:rPr>
          <w:rFonts w:hint="eastAsia"/>
        </w:rPr>
        <w:t>521</w:t>
      </w:r>
      <w:r>
        <w:rPr>
          <w:rFonts w:hint="eastAsia"/>
        </w:rPr>
        <w:t>頁上。</w:t>
      </w:r>
    </w:p>
  </w:footnote>
  <w:footnote w:id="8">
    <w:p w14:paraId="0950CE33" w14:textId="77777777" w:rsidR="00AD0A42" w:rsidRDefault="00AD0A42" w:rsidP="00AD0A42">
      <w:pPr>
        <w:pStyle w:val="a5"/>
      </w:pPr>
      <w:r>
        <w:rPr>
          <w:rStyle w:val="a6"/>
        </w:rPr>
        <w:footnoteRef/>
      </w:r>
      <w:r>
        <w:t xml:space="preserve"> </w:t>
      </w:r>
      <w:r>
        <w:rPr>
          <w:rFonts w:hint="eastAsia"/>
        </w:rPr>
        <w:t>《漢書·律曆志》謂：“律十有二，陽六爲律，陰六爲呂。”《周禮·春官·大師》謂：“大師掌六律六同以合陰陽之聲。陽聲：黃鍾、大蔟、姑洗、蕤賓、夷則、無射。陰聲：大呂、應鍾、南呂、函鍾、小呂、夾鍾。”《國語·周語下》伶州鳩論律稱“六呂”爲“六閒”。分見〔漢〕班固：《漢書》第</w:t>
      </w:r>
      <w:r>
        <w:rPr>
          <w:rFonts w:hint="eastAsia"/>
        </w:rPr>
        <w:t>4</w:t>
      </w:r>
      <w:r>
        <w:rPr>
          <w:rFonts w:hint="eastAsia"/>
        </w:rPr>
        <w:t>冊卷</w:t>
      </w:r>
      <w:r>
        <w:rPr>
          <w:rFonts w:hint="eastAsia"/>
        </w:rPr>
        <w:t>21</w:t>
      </w:r>
      <w:r>
        <w:rPr>
          <w:rFonts w:hint="eastAsia"/>
        </w:rPr>
        <w:t>上《律曆志第一上》，北京：中華書局，</w:t>
      </w:r>
      <w:r>
        <w:rPr>
          <w:rFonts w:hint="eastAsia"/>
        </w:rPr>
        <w:t>1964</w:t>
      </w:r>
      <w:r>
        <w:rPr>
          <w:rFonts w:hint="eastAsia"/>
        </w:rPr>
        <w:t>年點校本，第</w:t>
      </w:r>
      <w:r>
        <w:rPr>
          <w:rFonts w:hint="eastAsia"/>
        </w:rPr>
        <w:t>958</w:t>
      </w:r>
      <w:r>
        <w:rPr>
          <w:rFonts w:hint="eastAsia"/>
        </w:rPr>
        <w:t>頁；〔清〕孫怡讓撰：《周禮正義》卷</w:t>
      </w:r>
      <w:r>
        <w:rPr>
          <w:rFonts w:hint="eastAsia"/>
        </w:rPr>
        <w:t>45</w:t>
      </w:r>
      <w:r>
        <w:rPr>
          <w:rFonts w:hint="eastAsia"/>
        </w:rPr>
        <w:t>，王文錦、陳玉霞點校，北京：中華書局，</w:t>
      </w:r>
      <w:r>
        <w:rPr>
          <w:rFonts w:hint="eastAsia"/>
        </w:rPr>
        <w:t>1987</w:t>
      </w:r>
      <w:r>
        <w:rPr>
          <w:rFonts w:hint="eastAsia"/>
        </w:rPr>
        <w:t>年，第</w:t>
      </w:r>
      <w:r>
        <w:rPr>
          <w:rFonts w:hint="eastAsia"/>
        </w:rPr>
        <w:t>1832</w:t>
      </w:r>
      <w:r>
        <w:rPr>
          <w:rFonts w:hint="eastAsia"/>
        </w:rPr>
        <w:t>頁；〔三國·吳〕韋昭注，徐元誥集解：《國語集解》，王樹民、沈長雲點校，北京：中華書局，</w:t>
      </w:r>
      <w:r>
        <w:rPr>
          <w:rFonts w:hint="eastAsia"/>
        </w:rPr>
        <w:t>2019</w:t>
      </w:r>
      <w:r>
        <w:rPr>
          <w:rFonts w:hint="eastAsia"/>
        </w:rPr>
        <w:t>年，第</w:t>
      </w:r>
      <w:r>
        <w:rPr>
          <w:rFonts w:hint="eastAsia"/>
        </w:rPr>
        <w:t>126</w:t>
      </w:r>
      <w:r>
        <w:rPr>
          <w:rFonts w:hint="eastAsia"/>
        </w:rPr>
        <w:t>頁。十二律有陰陽之分，而五音則是本於十二律，以三分損益運算，依十二律還相爲宮以爲用，故《漢書·律曆志》謂：“五聲之本，生於黃鐘之律。九寸爲宮，或損或益，以定商、角、徵、羽。九六相生，陰陽相應也。”見上引〔漢〕班固：《漢書》第</w:t>
      </w:r>
      <w:r>
        <w:rPr>
          <w:rFonts w:hint="eastAsia"/>
        </w:rPr>
        <w:t>4</w:t>
      </w:r>
      <w:r>
        <w:rPr>
          <w:rFonts w:hint="eastAsia"/>
        </w:rPr>
        <w:t>冊卷</w:t>
      </w:r>
      <w:r>
        <w:rPr>
          <w:rFonts w:hint="eastAsia"/>
        </w:rPr>
        <w:t>21</w:t>
      </w:r>
      <w:r>
        <w:rPr>
          <w:rFonts w:hint="eastAsia"/>
        </w:rPr>
        <w:t>上《律曆志第一上》，第</w:t>
      </w:r>
      <w:r>
        <w:rPr>
          <w:rFonts w:hint="eastAsia"/>
        </w:rPr>
        <w:t>958</w:t>
      </w:r>
      <w:r>
        <w:rPr>
          <w:rFonts w:hint="eastAsia"/>
        </w:rPr>
        <w:t>頁。又五音以十二律還相爲宮之說，見〔晉〕司馬彪：《後漢書·志》卷</w:t>
      </w:r>
      <w:r>
        <w:rPr>
          <w:rFonts w:hint="eastAsia"/>
        </w:rPr>
        <w:t>1</w:t>
      </w:r>
      <w:r>
        <w:rPr>
          <w:rFonts w:hint="eastAsia"/>
        </w:rPr>
        <w:t>《律曆上》，北京：中華書局，</w:t>
      </w:r>
      <w:r>
        <w:rPr>
          <w:rFonts w:hint="eastAsia"/>
        </w:rPr>
        <w:t>1965</w:t>
      </w:r>
      <w:r>
        <w:rPr>
          <w:rFonts w:hint="eastAsia"/>
        </w:rPr>
        <w:t>年點校本，第</w:t>
      </w:r>
      <w:r>
        <w:rPr>
          <w:rFonts w:hint="eastAsia"/>
        </w:rPr>
        <w:t>3000</w:t>
      </w:r>
      <w:r>
        <w:rPr>
          <w:rFonts w:hint="eastAsia"/>
        </w:rPr>
        <w:t>頁。</w:t>
      </w:r>
    </w:p>
  </w:footnote>
  <w:footnote w:id="9">
    <w:p w14:paraId="7C033139" w14:textId="77777777" w:rsidR="00AD0A42" w:rsidRDefault="00AD0A42" w:rsidP="00AD0A42">
      <w:pPr>
        <w:pStyle w:val="a5"/>
      </w:pPr>
      <w:r>
        <w:rPr>
          <w:rStyle w:val="a6"/>
        </w:rPr>
        <w:footnoteRef/>
      </w:r>
      <w:r>
        <w:t xml:space="preserve"> </w:t>
      </w:r>
      <w:r>
        <w:rPr>
          <w:rFonts w:hint="eastAsia"/>
        </w:rPr>
        <w:t>關於以干支時日、星宿、神祇配人體部位的思想，亦可見於清華簡《五紀》。該篇謂“占民之疾，羣神羣祇，尚其肢節，上下左右，有辰與日”，將人體部位的疾病占卜與辰日等時間要素相聯係，並將神鬼致疾分爲“自腰以上，是謂興疾”、“自腰以下，是謂癖隔”、“疾處頸、脊及尻，是謂耆”，“疾處腹心肺肝之中，是謂窘”、“疾處四肢：骸、足、股、肱，是謂武疾”等，又配以不同的鬼神爲祟，可與《陳起》篇相關簡文聯繫。見黃德寬主編：《清華大學藏戰國竹簡·拾壹》，上海：中西書局，</w:t>
      </w:r>
      <w:r>
        <w:rPr>
          <w:rFonts w:hint="eastAsia"/>
        </w:rPr>
        <w:t>2021</w:t>
      </w:r>
      <w:r>
        <w:rPr>
          <w:rFonts w:hint="eastAsia"/>
        </w:rPr>
        <w:t>年，第</w:t>
      </w:r>
      <w:r>
        <w:rPr>
          <w:rFonts w:hint="eastAsia"/>
        </w:rPr>
        <w:t>116-119</w:t>
      </w:r>
      <w:r>
        <w:rPr>
          <w:rFonts w:hint="eastAsia"/>
        </w:rPr>
        <w:t>、</w:t>
      </w:r>
      <w:r>
        <w:rPr>
          <w:rFonts w:hint="eastAsia"/>
        </w:rPr>
        <w:t>122-124</w:t>
      </w:r>
      <w:r>
        <w:rPr>
          <w:rFonts w:hint="eastAsia"/>
        </w:rPr>
        <w:t>頁。</w:t>
      </w:r>
    </w:p>
  </w:footnote>
  <w:footnote w:id="10">
    <w:p w14:paraId="2184487A" w14:textId="77777777" w:rsidR="00AD0A42" w:rsidRDefault="00AD0A42" w:rsidP="00AD0A42">
      <w:pPr>
        <w:pStyle w:val="a5"/>
      </w:pPr>
      <w:r>
        <w:rPr>
          <w:rStyle w:val="a6"/>
        </w:rPr>
        <w:footnoteRef/>
      </w:r>
      <w:r>
        <w:t xml:space="preserve"> </w:t>
      </w:r>
      <w:r>
        <w:rPr>
          <w:rFonts w:hint="eastAsia"/>
        </w:rPr>
        <w:t>郭世榮：《〈陳起〉篇的四個問題》，見韓巍、鄒大海整理：《北大秦簡〈魯久次問數於陳起〉今譯、圖版和專家筆談》，《自然科學史研究》</w:t>
      </w:r>
      <w:r>
        <w:rPr>
          <w:rFonts w:hint="eastAsia"/>
        </w:rPr>
        <w:t>2015</w:t>
      </w:r>
      <w:r>
        <w:rPr>
          <w:rFonts w:hint="eastAsia"/>
        </w:rPr>
        <w:t>年第</w:t>
      </w:r>
      <w:r>
        <w:rPr>
          <w:rFonts w:hint="eastAsia"/>
        </w:rPr>
        <w:t>2</w:t>
      </w:r>
      <w:r>
        <w:rPr>
          <w:rFonts w:hint="eastAsia"/>
        </w:rPr>
        <w:t>期。</w:t>
      </w:r>
    </w:p>
  </w:footnote>
  <w:footnote w:id="11">
    <w:p w14:paraId="6ADD3208" w14:textId="77777777" w:rsidR="00AD0A42" w:rsidRDefault="00AD0A42" w:rsidP="00AD0A42">
      <w:pPr>
        <w:pStyle w:val="a5"/>
      </w:pPr>
      <w:r>
        <w:rPr>
          <w:rStyle w:val="a6"/>
        </w:rPr>
        <w:footnoteRef/>
      </w:r>
      <w:r>
        <w:t xml:space="preserve"> </w:t>
      </w:r>
      <w:r>
        <w:rPr>
          <w:rFonts w:hint="eastAsia"/>
        </w:rPr>
        <w:t>劉未沫：《數的宇宙生成論：〈魯久次問數於陳起〉與〈蒂邁歐〉比較研究》，《世界哲學》</w:t>
      </w:r>
      <w:r>
        <w:rPr>
          <w:rFonts w:hint="eastAsia"/>
        </w:rPr>
        <w:t>2019</w:t>
      </w:r>
      <w:r>
        <w:rPr>
          <w:rFonts w:hint="eastAsia"/>
        </w:rPr>
        <w:t>年第</w:t>
      </w:r>
      <w:r>
        <w:rPr>
          <w:rFonts w:hint="eastAsia"/>
        </w:rPr>
        <w:t>2</w:t>
      </w:r>
      <w:r>
        <w:rPr>
          <w:rFonts w:hint="eastAsia"/>
        </w:rPr>
        <w:t>期；又《早期中國思維中的數理、圖理與式圖——以北大秦簡〈魯久次問數於陳起〉爲中心》，《學術月刊》</w:t>
      </w:r>
      <w:r>
        <w:rPr>
          <w:rFonts w:hint="eastAsia"/>
        </w:rPr>
        <w:t>2022</w:t>
      </w:r>
      <w:r>
        <w:rPr>
          <w:rFonts w:hint="eastAsia"/>
        </w:rPr>
        <w:t>年第</w:t>
      </w:r>
      <w:r>
        <w:rPr>
          <w:rFonts w:hint="eastAsia"/>
        </w:rPr>
        <w:t>4</w:t>
      </w:r>
      <w:r>
        <w:rPr>
          <w:rFonts w:hint="eastAsia"/>
        </w:rPr>
        <w:t>期。</w:t>
      </w:r>
    </w:p>
  </w:footnote>
  <w:footnote w:id="12">
    <w:p w14:paraId="42D54236" w14:textId="77777777" w:rsidR="00AD0A42" w:rsidRDefault="00AD0A42" w:rsidP="00AD0A42">
      <w:pPr>
        <w:pStyle w:val="a5"/>
      </w:pPr>
      <w:r>
        <w:rPr>
          <w:rStyle w:val="a6"/>
        </w:rPr>
        <w:footnoteRef/>
      </w:r>
      <w:r>
        <w:t xml:space="preserve"> </w:t>
      </w:r>
      <w:r>
        <w:rPr>
          <w:rFonts w:hint="eastAsia"/>
        </w:rPr>
        <w:t>韓巍：北大秦簡《魯久次問數於陳起》釋文語譯，見韓巍、鄒大海整理：《北大秦簡〈魯久次問數於陳起〉今譯、圖版和專家筆談》，《自然科學史研究》</w:t>
      </w:r>
      <w:r>
        <w:rPr>
          <w:rFonts w:hint="eastAsia"/>
        </w:rPr>
        <w:t>2015</w:t>
      </w:r>
      <w:r>
        <w:rPr>
          <w:rFonts w:hint="eastAsia"/>
        </w:rPr>
        <w:t>年第</w:t>
      </w:r>
      <w:r>
        <w:rPr>
          <w:rFonts w:hint="eastAsia"/>
        </w:rPr>
        <w:t>2</w:t>
      </w:r>
      <w:r>
        <w:rPr>
          <w:rFonts w:hint="eastAsia"/>
        </w:rPr>
        <w:t>期。</w:t>
      </w:r>
    </w:p>
  </w:footnote>
  <w:footnote w:id="13">
    <w:p w14:paraId="0A59DB46" w14:textId="77777777" w:rsidR="00AD0A42" w:rsidRDefault="00AD0A42" w:rsidP="00AD0A42">
      <w:pPr>
        <w:pStyle w:val="a5"/>
      </w:pPr>
      <w:r>
        <w:rPr>
          <w:rStyle w:val="a6"/>
        </w:rPr>
        <w:footnoteRef/>
      </w:r>
      <w:r>
        <w:t xml:space="preserve"> </w:t>
      </w:r>
      <w:r>
        <w:rPr>
          <w:rFonts w:hint="eastAsia"/>
        </w:rPr>
        <w:t>劉未沫根據簡文中提及的術數要素將“三方三圓”與戰國秦漢流行的式圖聯繫起來，是正確的。然而，劉未沫整體上是從宇宙模型的角度理解“三方三圓”，並將簡文提及的術數要素納入到特定的宇宙生成論過程，同時認爲陳鐿文、曲安京對“三方三圓”的數值認識是較爲合理的，以此展開了對戰國秦漢時人關於宇宙認知的數理想象，這一點恐怕並不符合《陳起》篇簡文。見劉未沫：《早期中國思維中的數理、圖理與式圖——以北大秦簡〈魯久次問數於陳起〉爲中心》，《學術月刊》</w:t>
      </w:r>
      <w:r>
        <w:rPr>
          <w:rFonts w:hint="eastAsia"/>
        </w:rPr>
        <w:t>2022</w:t>
      </w:r>
      <w:r>
        <w:rPr>
          <w:rFonts w:hint="eastAsia"/>
        </w:rPr>
        <w:t>年第</w:t>
      </w:r>
      <w:r>
        <w:rPr>
          <w:rFonts w:hint="eastAsia"/>
        </w:rPr>
        <w:t>4</w:t>
      </w:r>
      <w:r>
        <w:rPr>
          <w:rFonts w:hint="eastAsia"/>
        </w:rPr>
        <w:t>期。又劉未沫：《〈魯久次問數於陳起〉中的“音律—曆法生成論”及其宇宙圖像》，《哲學動態》</w:t>
      </w:r>
      <w:r>
        <w:rPr>
          <w:rFonts w:hint="eastAsia"/>
        </w:rPr>
        <w:t>2020</w:t>
      </w:r>
      <w:r>
        <w:rPr>
          <w:rFonts w:hint="eastAsia"/>
        </w:rPr>
        <w:t>年第</w:t>
      </w:r>
      <w:r>
        <w:rPr>
          <w:rFonts w:hint="eastAsia"/>
        </w:rPr>
        <w:t>3</w:t>
      </w:r>
      <w:r>
        <w:rPr>
          <w:rFonts w:hint="eastAsia"/>
        </w:rPr>
        <w:t>期。</w:t>
      </w:r>
    </w:p>
  </w:footnote>
  <w:footnote w:id="14">
    <w:p w14:paraId="343DD51C" w14:textId="77777777" w:rsidR="00AD0A42" w:rsidRDefault="00AD0A42" w:rsidP="00AD0A42">
      <w:pPr>
        <w:pStyle w:val="a5"/>
      </w:pPr>
      <w:r>
        <w:rPr>
          <w:rStyle w:val="a6"/>
        </w:rPr>
        <w:footnoteRef/>
      </w:r>
      <w:r>
        <w:t xml:space="preserve"> </w:t>
      </w:r>
      <w:r>
        <w:rPr>
          <w:rFonts w:hint="eastAsia"/>
        </w:rPr>
        <w:t>採自陳偉主編：《秦簡牘合集：釋文注釋修訂本（叁）》，武漢：武漢大學出版社，</w:t>
      </w:r>
      <w:r>
        <w:rPr>
          <w:rFonts w:hint="eastAsia"/>
        </w:rPr>
        <w:t>2016</w:t>
      </w:r>
      <w:r>
        <w:rPr>
          <w:rFonts w:hint="eastAsia"/>
        </w:rPr>
        <w:t>年，第</w:t>
      </w:r>
      <w:r>
        <w:rPr>
          <w:rFonts w:hint="eastAsia"/>
        </w:rPr>
        <w:t>195</w:t>
      </w:r>
      <w:r>
        <w:rPr>
          <w:rFonts w:hint="eastAsia"/>
        </w:rPr>
        <w:t>頁。</w:t>
      </w:r>
    </w:p>
  </w:footnote>
  <w:footnote w:id="15">
    <w:p w14:paraId="4325745B" w14:textId="77777777" w:rsidR="00AD0A42" w:rsidRDefault="00AD0A42" w:rsidP="00AD0A42">
      <w:pPr>
        <w:pStyle w:val="a5"/>
      </w:pPr>
      <w:r>
        <w:rPr>
          <w:rStyle w:val="a6"/>
        </w:rPr>
        <w:footnoteRef/>
      </w:r>
      <w:r>
        <w:t xml:space="preserve"> </w:t>
      </w:r>
      <w:r>
        <w:rPr>
          <w:rFonts w:hint="eastAsia"/>
        </w:rPr>
        <w:t>採自李零：《中國方術考》，北京：中華書局，</w:t>
      </w:r>
      <w:r>
        <w:rPr>
          <w:rFonts w:hint="eastAsia"/>
        </w:rPr>
        <w:t>2019</w:t>
      </w:r>
      <w:r>
        <w:rPr>
          <w:rFonts w:hint="eastAsia"/>
        </w:rPr>
        <w:t>年，第</w:t>
      </w:r>
      <w:r>
        <w:rPr>
          <w:rFonts w:hint="eastAsia"/>
        </w:rPr>
        <w:t>72</w:t>
      </w:r>
      <w:r>
        <w:rPr>
          <w:rFonts w:hint="eastAsia"/>
        </w:rPr>
        <w:t>頁。</w:t>
      </w:r>
    </w:p>
  </w:footnote>
  <w:footnote w:id="16">
    <w:p w14:paraId="0EED9117" w14:textId="77777777" w:rsidR="00AD0A42" w:rsidRDefault="00AD0A42" w:rsidP="00AD0A42">
      <w:pPr>
        <w:pStyle w:val="a5"/>
      </w:pPr>
      <w:r>
        <w:rPr>
          <w:rStyle w:val="a6"/>
        </w:rPr>
        <w:footnoteRef/>
      </w:r>
      <w:r>
        <w:t xml:space="preserve"> </w:t>
      </w:r>
      <w:r>
        <w:rPr>
          <w:rFonts w:hint="eastAsia"/>
        </w:rPr>
        <w:t>採自李零：《中國方術考》，第</w:t>
      </w:r>
      <w:r>
        <w:rPr>
          <w:rFonts w:hint="eastAsia"/>
        </w:rPr>
        <w:t>71</w:t>
      </w:r>
      <w:r>
        <w:rPr>
          <w:rFonts w:hint="eastAsia"/>
        </w:rPr>
        <w:t>頁。</w:t>
      </w:r>
    </w:p>
  </w:footnote>
  <w:footnote w:id="17">
    <w:p w14:paraId="4AE3E484" w14:textId="77777777" w:rsidR="00AD0A42" w:rsidRDefault="00AD0A42" w:rsidP="00AD0A42">
      <w:pPr>
        <w:pStyle w:val="a5"/>
      </w:pPr>
      <w:r>
        <w:rPr>
          <w:rStyle w:val="a6"/>
        </w:rPr>
        <w:footnoteRef/>
      </w:r>
      <w:r>
        <w:t xml:space="preserve"> </w:t>
      </w:r>
      <w:r>
        <w:rPr>
          <w:rFonts w:hint="eastAsia"/>
        </w:rPr>
        <w:t>採自李零：《中國方術考》，第</w:t>
      </w:r>
      <w:r>
        <w:rPr>
          <w:rFonts w:hint="eastAsia"/>
        </w:rPr>
        <w:t>74</w:t>
      </w:r>
      <w:r>
        <w:rPr>
          <w:rFonts w:hint="eastAsia"/>
        </w:rPr>
        <w:t>頁。</w:t>
      </w:r>
    </w:p>
  </w:footnote>
  <w:footnote w:id="18">
    <w:p w14:paraId="23C26888" w14:textId="77777777" w:rsidR="00AD0A42" w:rsidRDefault="00AD0A42" w:rsidP="00AD0A42">
      <w:pPr>
        <w:pStyle w:val="a5"/>
      </w:pPr>
      <w:r>
        <w:rPr>
          <w:rStyle w:val="a6"/>
        </w:rPr>
        <w:footnoteRef/>
      </w:r>
      <w:r>
        <w:t xml:space="preserve"> </w:t>
      </w:r>
      <w:r>
        <w:rPr>
          <w:rFonts w:hint="eastAsia"/>
        </w:rPr>
        <w:t>採自李零：《中國方術考》，第</w:t>
      </w:r>
      <w:r>
        <w:rPr>
          <w:rFonts w:hint="eastAsia"/>
        </w:rPr>
        <w:t>75</w:t>
      </w:r>
      <w:r>
        <w:rPr>
          <w:rFonts w:hint="eastAsia"/>
        </w:rPr>
        <w:t>頁。</w:t>
      </w:r>
    </w:p>
  </w:footnote>
  <w:footnote w:id="19">
    <w:p w14:paraId="7430F54E" w14:textId="77777777" w:rsidR="00AD0A42" w:rsidRDefault="00AD0A42" w:rsidP="00AD0A42">
      <w:pPr>
        <w:pStyle w:val="a5"/>
      </w:pPr>
      <w:r>
        <w:rPr>
          <w:rStyle w:val="a6"/>
        </w:rPr>
        <w:footnoteRef/>
      </w:r>
      <w:r>
        <w:t xml:space="preserve"> </w:t>
      </w:r>
      <w:r>
        <w:rPr>
          <w:rFonts w:hint="eastAsia"/>
        </w:rPr>
        <w:t xml:space="preserve"> </w:t>
      </w:r>
      <w:r>
        <w:rPr>
          <w:rFonts w:hint="eastAsia"/>
        </w:rPr>
        <w:t>《史記·日者列傳》中，司馬季主謂：“今夫卜者，必法天地，象四時，順於仁義，分策定卦，旋式正棋，然後言天地之利害，事之成敗。”司馬貞《索隱》謂：“式即栻也。旋，轉也。栻之形上圓象天，下方法地，用之則轉天綱加地之辰，故云旋式。”見〔漢〕司馬遷：《史記》第</w:t>
      </w:r>
      <w:r>
        <w:rPr>
          <w:rFonts w:hint="eastAsia"/>
        </w:rPr>
        <w:t>10</w:t>
      </w:r>
      <w:r>
        <w:rPr>
          <w:rFonts w:hint="eastAsia"/>
        </w:rPr>
        <w:t>冊卷</w:t>
      </w:r>
      <w:r>
        <w:rPr>
          <w:rFonts w:hint="eastAsia"/>
        </w:rPr>
        <w:t>127</w:t>
      </w:r>
      <w:r>
        <w:rPr>
          <w:rFonts w:hint="eastAsia"/>
        </w:rPr>
        <w:t>《日者列傳第六十七》，北京：中華書局，</w:t>
      </w:r>
      <w:r>
        <w:rPr>
          <w:rFonts w:hint="eastAsia"/>
        </w:rPr>
        <w:t>2014</w:t>
      </w:r>
      <w:r>
        <w:rPr>
          <w:rFonts w:hint="eastAsia"/>
        </w:rPr>
        <w:t>年修訂點校本，第</w:t>
      </w:r>
      <w:r>
        <w:rPr>
          <w:rFonts w:hint="eastAsia"/>
        </w:rPr>
        <w:t>3910</w:t>
      </w:r>
      <w:r>
        <w:rPr>
          <w:rFonts w:hint="eastAsia"/>
        </w:rPr>
        <w:t>頁。</w:t>
      </w:r>
    </w:p>
  </w:footnote>
  <w:footnote w:id="20">
    <w:p w14:paraId="153FB19E" w14:textId="77777777" w:rsidR="00AD0A42" w:rsidRDefault="00AD0A42" w:rsidP="00AD0A42">
      <w:pPr>
        <w:pStyle w:val="a5"/>
      </w:pPr>
      <w:r>
        <w:rPr>
          <w:rStyle w:val="a6"/>
        </w:rPr>
        <w:footnoteRef/>
      </w:r>
      <w:r>
        <w:t xml:space="preserve"> </w:t>
      </w:r>
      <w:r>
        <w:rPr>
          <w:rFonts w:hint="eastAsia"/>
        </w:rPr>
        <w:t>《淮南子·天文訓》謂：“</w:t>
      </w:r>
      <w:r>
        <w:rPr>
          <w:rFonts w:eastAsia="宋体" w:hint="eastAsia"/>
        </w:rPr>
        <w:t>子午、卯酉</w:t>
      </w:r>
      <w:r>
        <w:rPr>
          <w:rFonts w:hint="eastAsia"/>
        </w:rPr>
        <w:t>爲</w:t>
      </w:r>
      <w:r>
        <w:rPr>
          <w:rFonts w:eastAsia="宋体" w:hint="eastAsia"/>
        </w:rPr>
        <w:t>二繩，</w:t>
      </w:r>
      <w:r>
        <w:rPr>
          <w:rFonts w:hint="eastAsia"/>
        </w:rPr>
        <w:t>丑</w:t>
      </w:r>
      <w:r>
        <w:rPr>
          <w:rFonts w:eastAsia="宋体" w:hint="eastAsia"/>
        </w:rPr>
        <w:t>寅、辰巳、未申、戌亥</w:t>
      </w:r>
      <w:r>
        <w:rPr>
          <w:rFonts w:hint="eastAsia"/>
        </w:rPr>
        <w:t>爲</w:t>
      </w:r>
      <w:r>
        <w:rPr>
          <w:rFonts w:eastAsia="宋体" w:hint="eastAsia"/>
        </w:rPr>
        <w:t>四鉤。東北</w:t>
      </w:r>
      <w:r>
        <w:rPr>
          <w:rFonts w:hint="eastAsia"/>
        </w:rPr>
        <w:t>爲</w:t>
      </w:r>
      <w:r>
        <w:rPr>
          <w:rFonts w:eastAsia="宋体" w:hint="eastAsia"/>
        </w:rPr>
        <w:t>報德之維也，西南</w:t>
      </w:r>
      <w:r>
        <w:rPr>
          <w:rFonts w:hint="eastAsia"/>
        </w:rPr>
        <w:t>爲</w:t>
      </w:r>
      <w:r>
        <w:rPr>
          <w:rFonts w:eastAsia="宋体" w:hint="eastAsia"/>
        </w:rPr>
        <w:t>背陽之維，東南</w:t>
      </w:r>
      <w:r>
        <w:rPr>
          <w:rFonts w:hint="eastAsia"/>
        </w:rPr>
        <w:t>爲</w:t>
      </w:r>
      <w:r>
        <w:rPr>
          <w:rFonts w:eastAsia="宋体" w:hint="eastAsia"/>
        </w:rPr>
        <w:t>常羊之維，西北</w:t>
      </w:r>
      <w:r>
        <w:rPr>
          <w:rFonts w:hint="eastAsia"/>
        </w:rPr>
        <w:t>爲</w:t>
      </w:r>
      <w:r>
        <w:rPr>
          <w:rFonts w:eastAsia="宋体" w:hint="eastAsia"/>
        </w:rPr>
        <w:t>蹄通之維</w:t>
      </w:r>
      <w:r>
        <w:rPr>
          <w:rFonts w:hint="eastAsia"/>
        </w:rPr>
        <w:t>。”何寧撰：《淮南子集釋》，北京：中華書局，</w:t>
      </w:r>
      <w:r>
        <w:rPr>
          <w:rFonts w:hint="eastAsia"/>
        </w:rPr>
        <w:t>1998</w:t>
      </w:r>
      <w:r>
        <w:rPr>
          <w:rFonts w:hint="eastAsia"/>
        </w:rPr>
        <w:t>年，第</w:t>
      </w:r>
      <w:r>
        <w:rPr>
          <w:rFonts w:hint="eastAsia"/>
        </w:rPr>
        <w:t>207</w:t>
      </w:r>
      <w:r>
        <w:rPr>
          <w:rFonts w:hint="eastAsia"/>
        </w:rPr>
        <w:t>頁。</w:t>
      </w:r>
    </w:p>
  </w:footnote>
  <w:footnote w:id="21">
    <w:p w14:paraId="478DACAD" w14:textId="77777777" w:rsidR="00AD0A42" w:rsidRDefault="00AD0A42" w:rsidP="00AD0A42">
      <w:pPr>
        <w:pStyle w:val="a5"/>
      </w:pPr>
      <w:r>
        <w:rPr>
          <w:rStyle w:val="a6"/>
        </w:rPr>
        <w:footnoteRef/>
      </w:r>
      <w:r>
        <w:t xml:space="preserve"> </w:t>
      </w:r>
      <w:r>
        <w:rPr>
          <w:rFonts w:hint="eastAsia"/>
        </w:rPr>
        <w:t>〔清〕段玉裁：《說文解字注》第</w:t>
      </w:r>
      <w:r>
        <w:rPr>
          <w:rFonts w:hint="eastAsia"/>
        </w:rPr>
        <w:t>2</w:t>
      </w:r>
      <w:r>
        <w:rPr>
          <w:rFonts w:hint="eastAsia"/>
        </w:rPr>
        <w:t>篇上，第</w:t>
      </w:r>
      <w:r>
        <w:rPr>
          <w:rFonts w:hint="eastAsia"/>
        </w:rPr>
        <w:t>63</w:t>
      </w:r>
      <w:r>
        <w:rPr>
          <w:rFonts w:hint="eastAsia"/>
        </w:rPr>
        <w:t>頁下。</w:t>
      </w:r>
    </w:p>
  </w:footnote>
  <w:footnote w:id="22">
    <w:p w14:paraId="21263E1E" w14:textId="77777777" w:rsidR="00AD0A42" w:rsidRDefault="00AD0A42" w:rsidP="00AD0A42">
      <w:pPr>
        <w:pStyle w:val="a5"/>
      </w:pPr>
      <w:r>
        <w:rPr>
          <w:rStyle w:val="a6"/>
        </w:rPr>
        <w:footnoteRef/>
      </w:r>
      <w:r>
        <w:t xml:space="preserve"> </w:t>
      </w:r>
      <w:r>
        <w:rPr>
          <w:rFonts w:hint="eastAsia"/>
        </w:rPr>
        <w:t>〔三國·吳〕韋昭注，徐元誥集解：《國語集解》，王樹民、沈長雲點校，第</w:t>
      </w:r>
      <w:r>
        <w:rPr>
          <w:rFonts w:hint="eastAsia"/>
        </w:rPr>
        <w:t>166</w:t>
      </w:r>
      <w:r>
        <w:rPr>
          <w:rFonts w:hint="eastAsia"/>
        </w:rPr>
        <w:t>頁。</w:t>
      </w:r>
    </w:p>
  </w:footnote>
  <w:footnote w:id="23">
    <w:p w14:paraId="5329D37F" w14:textId="77777777" w:rsidR="00AD0A42" w:rsidRDefault="00AD0A42" w:rsidP="00AD0A42">
      <w:pPr>
        <w:pStyle w:val="a5"/>
      </w:pPr>
      <w:r>
        <w:rPr>
          <w:rStyle w:val="a6"/>
        </w:rPr>
        <w:footnoteRef/>
      </w:r>
      <w:r>
        <w:t xml:space="preserve"> </w:t>
      </w:r>
      <w:r>
        <w:rPr>
          <w:rFonts w:hint="eastAsia"/>
        </w:rPr>
        <w:t>〔三國·吳〕韋昭注，徐元誥集解：《國語集解》，王樹民、沈長雲點校，第</w:t>
      </w:r>
      <w:r>
        <w:rPr>
          <w:rFonts w:hint="eastAsia"/>
        </w:rPr>
        <w:t>494</w:t>
      </w:r>
      <w:r>
        <w:rPr>
          <w:rFonts w:hint="eastAsia"/>
        </w:rPr>
        <w:t>頁。</w:t>
      </w:r>
    </w:p>
  </w:footnote>
  <w:footnote w:id="24">
    <w:p w14:paraId="06A39DBC" w14:textId="77777777" w:rsidR="00AD0A42" w:rsidRDefault="00AD0A42" w:rsidP="00AD0A42">
      <w:pPr>
        <w:pStyle w:val="a5"/>
      </w:pPr>
      <w:r>
        <w:rPr>
          <w:rStyle w:val="a6"/>
        </w:rPr>
        <w:footnoteRef/>
      </w:r>
      <w:r>
        <w:t xml:space="preserve"> </w:t>
      </w:r>
      <w:r>
        <w:rPr>
          <w:rFonts w:hint="eastAsia"/>
        </w:rPr>
        <w:t>〔漢〕司馬遷：《史記》第</w:t>
      </w:r>
      <w:r>
        <w:rPr>
          <w:rFonts w:hint="eastAsia"/>
        </w:rPr>
        <w:t>7</w:t>
      </w:r>
      <w:r>
        <w:rPr>
          <w:rFonts w:hint="eastAsia"/>
        </w:rPr>
        <w:t>冊卷</w:t>
      </w:r>
      <w:r>
        <w:rPr>
          <w:rFonts w:hint="eastAsia"/>
        </w:rPr>
        <w:t>78</w:t>
      </w:r>
      <w:r>
        <w:rPr>
          <w:rFonts w:hint="eastAsia"/>
        </w:rPr>
        <w:t>《春申君列傳第十八》，第</w:t>
      </w:r>
      <w:r>
        <w:rPr>
          <w:rFonts w:hint="eastAsia"/>
        </w:rPr>
        <w:t>2901-2902</w:t>
      </w:r>
      <w:r>
        <w:rPr>
          <w:rFonts w:hint="eastAsia"/>
        </w:rPr>
        <w:t>頁。</w:t>
      </w:r>
    </w:p>
  </w:footnote>
  <w:footnote w:id="25">
    <w:p w14:paraId="4DE6ECAB" w14:textId="77777777" w:rsidR="00AD0A42" w:rsidRDefault="00AD0A42" w:rsidP="00AD0A42">
      <w:pPr>
        <w:pStyle w:val="a5"/>
      </w:pPr>
      <w:r>
        <w:rPr>
          <w:rStyle w:val="a6"/>
        </w:rPr>
        <w:footnoteRef/>
      </w:r>
      <w:r>
        <w:t xml:space="preserve"> </w:t>
      </w:r>
      <w:r>
        <w:rPr>
          <w:rFonts w:hint="eastAsia"/>
        </w:rPr>
        <w:t>〔漢〕班固：《漢書》第</w:t>
      </w:r>
      <w:r>
        <w:rPr>
          <w:rFonts w:hint="eastAsia"/>
        </w:rPr>
        <w:t>11</w:t>
      </w:r>
      <w:r>
        <w:rPr>
          <w:rFonts w:hint="eastAsia"/>
        </w:rPr>
        <w:t>冊卷</w:t>
      </w:r>
      <w:r>
        <w:rPr>
          <w:rFonts w:hint="eastAsia"/>
        </w:rPr>
        <w:t>94</w:t>
      </w:r>
      <w:r>
        <w:rPr>
          <w:rFonts w:hint="eastAsia"/>
        </w:rPr>
        <w:t>上《匈奴傳第六十四上》，第</w:t>
      </w:r>
      <w:r>
        <w:rPr>
          <w:rFonts w:hint="eastAsia"/>
        </w:rPr>
        <w:t>3751</w:t>
      </w:r>
      <w:r>
        <w:rPr>
          <w:rFonts w:hint="eastAsia"/>
        </w:rPr>
        <w:t>頁。</w:t>
      </w:r>
    </w:p>
  </w:footnote>
  <w:footnote w:id="26">
    <w:p w14:paraId="2F123EE1" w14:textId="77777777" w:rsidR="00AD0A42" w:rsidRDefault="00AD0A42" w:rsidP="00AD0A42">
      <w:pPr>
        <w:pStyle w:val="a5"/>
      </w:pPr>
      <w:r>
        <w:rPr>
          <w:rStyle w:val="a6"/>
        </w:rPr>
        <w:footnoteRef/>
      </w:r>
      <w:r>
        <w:t xml:space="preserve"> </w:t>
      </w:r>
      <w:r>
        <w:rPr>
          <w:rFonts w:hint="eastAsia"/>
        </w:rPr>
        <w:t>《十三經注疏》整理委員會整理：《毛詩正義》卷第</w:t>
      </w:r>
      <w:r>
        <w:rPr>
          <w:rFonts w:hint="eastAsia"/>
        </w:rPr>
        <w:t>18</w:t>
      </w:r>
      <w:r>
        <w:rPr>
          <w:rFonts w:hint="eastAsia"/>
        </w:rPr>
        <w:t>之</w:t>
      </w:r>
      <w:r>
        <w:rPr>
          <w:rFonts w:hint="eastAsia"/>
        </w:rPr>
        <w:t>5</w:t>
      </w:r>
      <w:r>
        <w:rPr>
          <w:rFonts w:hint="eastAsia"/>
        </w:rPr>
        <w:t>，北京：北京大學出版社，</w:t>
      </w:r>
      <w:r>
        <w:rPr>
          <w:rFonts w:hint="eastAsia"/>
        </w:rPr>
        <w:t>2000</w:t>
      </w:r>
      <w:r>
        <w:rPr>
          <w:rFonts w:hint="eastAsia"/>
        </w:rPr>
        <w:t>年，第</w:t>
      </w:r>
      <w:r>
        <w:rPr>
          <w:rFonts w:hint="eastAsia"/>
        </w:rPr>
        <w:t>1475</w:t>
      </w:r>
      <w:r>
        <w:rPr>
          <w:rFonts w:hint="eastAsia"/>
        </w:rPr>
        <w:t>頁。</w:t>
      </w:r>
    </w:p>
  </w:footnote>
  <w:footnote w:id="27">
    <w:p w14:paraId="6A0300A6" w14:textId="77777777" w:rsidR="00AD0A42" w:rsidRDefault="00AD0A42" w:rsidP="00AD0A42">
      <w:pPr>
        <w:pStyle w:val="a5"/>
      </w:pPr>
      <w:r>
        <w:rPr>
          <w:rStyle w:val="a6"/>
        </w:rPr>
        <w:footnoteRef/>
      </w:r>
      <w:r>
        <w:t xml:space="preserve"> </w:t>
      </w:r>
      <w:r>
        <w:rPr>
          <w:rFonts w:hint="eastAsia"/>
        </w:rPr>
        <w:t>《十三經注疏》整理委員會整理：《毛詩正義》卷第</w:t>
      </w:r>
      <w:r>
        <w:rPr>
          <w:rFonts w:hint="eastAsia"/>
        </w:rPr>
        <w:t>10</w:t>
      </w:r>
      <w:r>
        <w:rPr>
          <w:rFonts w:hint="eastAsia"/>
        </w:rPr>
        <w:t>之</w:t>
      </w:r>
      <w:r>
        <w:rPr>
          <w:rFonts w:hint="eastAsia"/>
        </w:rPr>
        <w:t>2</w:t>
      </w:r>
      <w:r>
        <w:rPr>
          <w:rFonts w:hint="eastAsia"/>
        </w:rPr>
        <w:t>，第</w:t>
      </w:r>
      <w:r>
        <w:rPr>
          <w:rFonts w:hint="eastAsia"/>
        </w:rPr>
        <w:t>456</w:t>
      </w:r>
      <w:r>
        <w:rPr>
          <w:rFonts w:hint="eastAsia"/>
        </w:rPr>
        <w:t>頁。</w:t>
      </w:r>
    </w:p>
  </w:footnote>
  <w:footnote w:id="28">
    <w:p w14:paraId="103CC204" w14:textId="77777777" w:rsidR="00AD0A42" w:rsidRDefault="00AD0A42" w:rsidP="00AD0A42">
      <w:pPr>
        <w:pStyle w:val="a5"/>
      </w:pPr>
      <w:r>
        <w:rPr>
          <w:rStyle w:val="a6"/>
        </w:rPr>
        <w:footnoteRef/>
      </w:r>
      <w:r>
        <w:t xml:space="preserve"> </w:t>
      </w:r>
      <w:r>
        <w:rPr>
          <w:rFonts w:hint="eastAsia"/>
        </w:rPr>
        <w:t>黃德寬主編：《清華大學藏戰國竹簡·拾肆》，上海：中西書局，</w:t>
      </w:r>
      <w:r>
        <w:rPr>
          <w:rFonts w:hint="eastAsia"/>
        </w:rPr>
        <w:t>2024</w:t>
      </w:r>
      <w:r>
        <w:rPr>
          <w:rFonts w:hint="eastAsia"/>
        </w:rPr>
        <w:t>年，第</w:t>
      </w:r>
      <w:r>
        <w:rPr>
          <w:rFonts w:hint="eastAsia"/>
        </w:rPr>
        <w:t>114</w:t>
      </w:r>
      <w:r>
        <w:rPr>
          <w:rFonts w:hint="eastAsia"/>
        </w:rPr>
        <w:t>頁。</w:t>
      </w:r>
    </w:p>
  </w:footnote>
  <w:footnote w:id="29">
    <w:p w14:paraId="05EBC18A" w14:textId="77777777" w:rsidR="00AD0A42" w:rsidRDefault="00AD0A42" w:rsidP="00AD0A42">
      <w:pPr>
        <w:pStyle w:val="a5"/>
      </w:pPr>
      <w:r>
        <w:rPr>
          <w:rStyle w:val="a6"/>
        </w:rPr>
        <w:footnoteRef/>
      </w:r>
      <w:r>
        <w:t xml:space="preserve"> </w:t>
      </w:r>
      <w:r>
        <w:rPr>
          <w:rFonts w:hint="eastAsia"/>
        </w:rPr>
        <w:t>〔清〕王先謙撰：《荀子集解》卷</w:t>
      </w:r>
      <w:r>
        <w:rPr>
          <w:rFonts w:hint="eastAsia"/>
        </w:rPr>
        <w:t>2</w:t>
      </w:r>
      <w:r>
        <w:rPr>
          <w:rFonts w:hint="eastAsia"/>
        </w:rPr>
        <w:t>《榮辱篇第四》，沈嘯寰、王星賢點校，北京：中華書局，</w:t>
      </w:r>
      <w:r>
        <w:rPr>
          <w:rFonts w:hint="eastAsia"/>
        </w:rPr>
        <w:t>1988</w:t>
      </w:r>
      <w:r>
        <w:rPr>
          <w:rFonts w:hint="eastAsia"/>
        </w:rPr>
        <w:t>年，第</w:t>
      </w:r>
      <w:r>
        <w:rPr>
          <w:rFonts w:hint="eastAsia"/>
        </w:rPr>
        <w:t>53</w:t>
      </w:r>
      <w:r>
        <w:rPr>
          <w:rFonts w:hint="eastAsia"/>
        </w:rPr>
        <w:t>頁。</w:t>
      </w:r>
    </w:p>
  </w:footnote>
  <w:footnote w:id="30">
    <w:p w14:paraId="406C7372" w14:textId="77777777" w:rsidR="00AD0A42" w:rsidRDefault="00AD0A42" w:rsidP="00AD0A42">
      <w:pPr>
        <w:pStyle w:val="a5"/>
      </w:pPr>
      <w:r>
        <w:rPr>
          <w:rStyle w:val="a6"/>
        </w:rPr>
        <w:footnoteRef/>
      </w:r>
      <w:r>
        <w:t xml:space="preserve"> </w:t>
      </w:r>
      <w:r>
        <w:rPr>
          <w:rFonts w:hint="eastAsia"/>
        </w:rPr>
        <w:t>北京大學出土文獻研究所編：《北京大學藏西漢竹書</w:t>
      </w:r>
      <w:r>
        <w:rPr>
          <w:rFonts w:hint="eastAsia"/>
        </w:rPr>
        <w:t>.</w:t>
      </w:r>
      <w:r>
        <w:rPr>
          <w:rFonts w:hint="eastAsia"/>
        </w:rPr>
        <w:t>貳》，上海：上海古籍出版社，</w:t>
      </w:r>
      <w:r>
        <w:rPr>
          <w:rFonts w:hint="eastAsia"/>
        </w:rPr>
        <w:t>2012</w:t>
      </w:r>
      <w:r>
        <w:rPr>
          <w:rFonts w:hint="eastAsia"/>
        </w:rPr>
        <w:t>年，第</w:t>
      </w:r>
      <w:r>
        <w:rPr>
          <w:rFonts w:hint="eastAsia"/>
        </w:rPr>
        <w:t>130</w:t>
      </w:r>
      <w:r>
        <w:rPr>
          <w:rFonts w:hint="eastAsia"/>
        </w:rPr>
        <w:t>頁。</w:t>
      </w:r>
    </w:p>
  </w:footnote>
  <w:footnote w:id="31">
    <w:p w14:paraId="1B95AB9E" w14:textId="77777777" w:rsidR="00AD0A42" w:rsidRDefault="00AD0A42" w:rsidP="00AD0A42">
      <w:pPr>
        <w:pStyle w:val="a5"/>
      </w:pPr>
      <w:r>
        <w:rPr>
          <w:rStyle w:val="a6"/>
        </w:rPr>
        <w:footnoteRef/>
      </w:r>
      <w:r>
        <w:t xml:space="preserve"> </w:t>
      </w:r>
      <w:r>
        <w:rPr>
          <w:rFonts w:hint="eastAsia"/>
        </w:rPr>
        <w:t>清代學者俞樾指出，古書有兩字一義而誤解例，見〔清〕俞樾等著：《古書疑義舉例五種》，北京：中華書局，</w:t>
      </w:r>
      <w:r>
        <w:rPr>
          <w:rFonts w:hint="eastAsia"/>
        </w:rPr>
        <w:t>1956</w:t>
      </w:r>
      <w:r>
        <w:rPr>
          <w:rFonts w:hint="eastAsia"/>
        </w:rPr>
        <w:t>年，第</w:t>
      </w:r>
      <w:r>
        <w:rPr>
          <w:rFonts w:hint="eastAsia"/>
        </w:rPr>
        <w:t>139-143</w:t>
      </w:r>
      <w:r>
        <w:rPr>
          <w:rFonts w:hint="eastAsia"/>
        </w:rPr>
        <w:t>頁。</w:t>
      </w:r>
    </w:p>
  </w:footnote>
  <w:footnote w:id="32">
    <w:p w14:paraId="57E57FA6" w14:textId="77777777" w:rsidR="00AD0A42" w:rsidRDefault="00AD0A42" w:rsidP="00AD0A42">
      <w:pPr>
        <w:pStyle w:val="a5"/>
      </w:pPr>
      <w:r>
        <w:rPr>
          <w:rStyle w:val="a6"/>
        </w:rPr>
        <w:footnoteRef/>
      </w:r>
      <w:r>
        <w:t xml:space="preserve"> </w:t>
      </w:r>
      <w:r>
        <w:rPr>
          <w:rFonts w:hint="eastAsia"/>
        </w:rPr>
        <w:t>北京大學出土文獻與古代文明研究所編：《北京大學藏秦簡牘》，第</w:t>
      </w:r>
      <w:r>
        <w:rPr>
          <w:rFonts w:hint="eastAsia"/>
        </w:rPr>
        <w:t>751</w:t>
      </w:r>
      <w:r>
        <w:rPr>
          <w:rFonts w:hint="eastAsia"/>
        </w:rPr>
        <w:t>頁。</w:t>
      </w:r>
    </w:p>
  </w:footnote>
  <w:footnote w:id="33">
    <w:p w14:paraId="1A5EE670" w14:textId="77777777" w:rsidR="00AD0A42" w:rsidRDefault="00AD0A42" w:rsidP="00AD0A42">
      <w:pPr>
        <w:pStyle w:val="a5"/>
      </w:pPr>
      <w:r>
        <w:rPr>
          <w:rStyle w:val="a6"/>
        </w:rPr>
        <w:footnoteRef/>
      </w:r>
      <w:r>
        <w:t xml:space="preserve"> </w:t>
      </w:r>
      <w:r>
        <w:rPr>
          <w:rFonts w:hint="eastAsia"/>
        </w:rPr>
        <w:t>《史記·律書》謂：“《書》曰七正，二十八舍……舍者，日月所舍”，司馬貞《索隱》謂：“二十八宿，七正之所舍也。舍，止也。宿，次也。言日、月、五星運行，或舍於二十八次之分也。”可見古人亦以廿八宿爲日所行止的參照。見〔漢〕司馬遷《史記》第</w:t>
      </w:r>
      <w:r>
        <w:rPr>
          <w:rFonts w:hint="eastAsia"/>
        </w:rPr>
        <w:t>4</w:t>
      </w:r>
      <w:r>
        <w:rPr>
          <w:rFonts w:hint="eastAsia"/>
        </w:rPr>
        <w:t>冊卷</w:t>
      </w:r>
      <w:r>
        <w:rPr>
          <w:rFonts w:hint="eastAsia"/>
        </w:rPr>
        <w:t>25</w:t>
      </w:r>
      <w:r>
        <w:rPr>
          <w:rFonts w:hint="eastAsia"/>
        </w:rPr>
        <w:t>《律書第三》，第</w:t>
      </w:r>
      <w:r>
        <w:rPr>
          <w:rFonts w:hint="eastAsia"/>
        </w:rPr>
        <w:t>1483-1484</w:t>
      </w:r>
      <w:r>
        <w:rPr>
          <w:rFonts w:hint="eastAsia"/>
        </w:rPr>
        <w:t>頁。</w:t>
      </w:r>
    </w:p>
  </w:footnote>
  <w:footnote w:id="34">
    <w:p w14:paraId="45BB1614" w14:textId="77777777" w:rsidR="00AD0A42" w:rsidRDefault="00AD0A42" w:rsidP="00AD0A42">
      <w:pPr>
        <w:pStyle w:val="a5"/>
      </w:pPr>
      <w:r>
        <w:rPr>
          <w:rStyle w:val="a6"/>
        </w:rPr>
        <w:footnoteRef/>
      </w:r>
      <w:r>
        <w:t xml:space="preserve"> </w:t>
      </w:r>
      <w:r>
        <w:rPr>
          <w:rFonts w:hint="eastAsia"/>
        </w:rPr>
        <w:t>《十三經注疏》整理委員會整理：《禮記正義》卷</w:t>
      </w:r>
      <w:r>
        <w:rPr>
          <w:rFonts w:hint="eastAsia"/>
        </w:rPr>
        <w:t>22</w:t>
      </w:r>
      <w:r>
        <w:rPr>
          <w:rFonts w:hint="eastAsia"/>
        </w:rPr>
        <w:t>，北京：北京大學出版社，</w:t>
      </w:r>
      <w:r>
        <w:rPr>
          <w:rFonts w:hint="eastAsia"/>
        </w:rPr>
        <w:t>2000</w:t>
      </w:r>
      <w:r>
        <w:rPr>
          <w:rFonts w:hint="eastAsia"/>
        </w:rPr>
        <w:t>年，第</w:t>
      </w:r>
      <w:r>
        <w:rPr>
          <w:rFonts w:hint="eastAsia"/>
        </w:rPr>
        <w:t>804</w:t>
      </w:r>
      <w:r>
        <w:rPr>
          <w:rFonts w:hint="eastAsia"/>
        </w:rPr>
        <w:t>頁。</w:t>
      </w:r>
    </w:p>
  </w:footnote>
  <w:footnote w:id="35">
    <w:p w14:paraId="354ACA5E" w14:textId="77777777" w:rsidR="00AD0A42" w:rsidRDefault="00AD0A42" w:rsidP="00AD0A42">
      <w:pPr>
        <w:pStyle w:val="a5"/>
      </w:pPr>
      <w:r>
        <w:rPr>
          <w:rStyle w:val="a6"/>
        </w:rPr>
        <w:footnoteRef/>
      </w:r>
      <w:r>
        <w:t xml:space="preserve"> </w:t>
      </w:r>
      <w:r>
        <w:rPr>
          <w:rFonts w:hint="eastAsia"/>
        </w:rPr>
        <w:t>曹方向：曹方向：《北大秦簡〈魯久次問數於陳起〉衡間圖淺探》，陳偉主編：《簡帛》第</w:t>
      </w:r>
      <w:r>
        <w:rPr>
          <w:rFonts w:hint="eastAsia"/>
        </w:rPr>
        <w:t>16</w:t>
      </w:r>
      <w:r>
        <w:rPr>
          <w:rFonts w:hint="eastAsia"/>
        </w:rPr>
        <w:t>輯，上海：上海古籍出版社，</w:t>
      </w:r>
      <w:r>
        <w:rPr>
          <w:rFonts w:hint="eastAsia"/>
        </w:rPr>
        <w:t>2018</w:t>
      </w:r>
      <w:r>
        <w:rPr>
          <w:rFonts w:hint="eastAsia"/>
        </w:rPr>
        <w:t>年，第</w:t>
      </w:r>
      <w:r>
        <w:rPr>
          <w:rFonts w:hint="eastAsia"/>
        </w:rPr>
        <w:t>125-127</w:t>
      </w:r>
      <w:r>
        <w:rPr>
          <w:rFonts w:hint="eastAsia"/>
        </w:rPr>
        <w:t>頁。</w:t>
      </w:r>
    </w:p>
  </w:footnote>
  <w:footnote w:id="36">
    <w:p w14:paraId="11424E78" w14:textId="77777777" w:rsidR="00AD0A42" w:rsidRDefault="00AD0A42" w:rsidP="00AD0A42">
      <w:pPr>
        <w:pStyle w:val="a5"/>
      </w:pPr>
      <w:r>
        <w:rPr>
          <w:rStyle w:val="a6"/>
        </w:rPr>
        <w:footnoteRef/>
      </w:r>
      <w:r>
        <w:t xml:space="preserve"> </w:t>
      </w:r>
      <w:r>
        <w:rPr>
          <w:rFonts w:hint="eastAsia"/>
        </w:rPr>
        <w:t>陳偉主編：《秦簡牘合集</w:t>
      </w:r>
      <w:r>
        <w:rPr>
          <w:rFonts w:hint="eastAsia"/>
        </w:rPr>
        <w:t>.</w:t>
      </w:r>
      <w:r>
        <w:rPr>
          <w:rFonts w:hint="eastAsia"/>
        </w:rPr>
        <w:t>釋文注釋修訂本（肆）》，武漢：武漢大學出版社，</w:t>
      </w:r>
      <w:r>
        <w:rPr>
          <w:rFonts w:hint="eastAsia"/>
        </w:rPr>
        <w:t>2016</w:t>
      </w:r>
      <w:r>
        <w:rPr>
          <w:rFonts w:hint="eastAsia"/>
        </w:rPr>
        <w:t>年，第</w:t>
      </w:r>
      <w:r>
        <w:rPr>
          <w:rFonts w:hint="eastAsia"/>
        </w:rPr>
        <w:t>153</w:t>
      </w:r>
      <w:r>
        <w:rPr>
          <w:rFonts w:hint="eastAsia"/>
        </w:rPr>
        <w:t>頁。</w:t>
      </w:r>
    </w:p>
  </w:footnote>
  <w:footnote w:id="37">
    <w:p w14:paraId="37C90EA9" w14:textId="77777777" w:rsidR="00AD0A42" w:rsidRDefault="00AD0A42" w:rsidP="00AD0A42">
      <w:pPr>
        <w:pStyle w:val="a5"/>
      </w:pPr>
      <w:r>
        <w:rPr>
          <w:rStyle w:val="a6"/>
        </w:rPr>
        <w:footnoteRef/>
      </w:r>
      <w:r>
        <w:t xml:space="preserve"> </w:t>
      </w:r>
      <w:r>
        <w:rPr>
          <w:rFonts w:hint="eastAsia"/>
        </w:rPr>
        <w:t>陳偉主編：《秦簡牘合集</w:t>
      </w:r>
      <w:r>
        <w:rPr>
          <w:rFonts w:hint="eastAsia"/>
        </w:rPr>
        <w:t>.</w:t>
      </w:r>
      <w:r>
        <w:rPr>
          <w:rFonts w:hint="eastAsia"/>
        </w:rPr>
        <w:t>釋文注釋修訂本（肆）》，武漢：武漢大學出版社，</w:t>
      </w:r>
      <w:r>
        <w:rPr>
          <w:rFonts w:hint="eastAsia"/>
        </w:rPr>
        <w:t>2016</w:t>
      </w:r>
      <w:r>
        <w:rPr>
          <w:rFonts w:hint="eastAsia"/>
        </w:rPr>
        <w:t>年，第</w:t>
      </w:r>
      <w:r>
        <w:rPr>
          <w:rFonts w:hint="eastAsia"/>
        </w:rPr>
        <w:t>129</w:t>
      </w:r>
      <w:r>
        <w:rPr>
          <w:rFonts w:hint="eastAsia"/>
        </w:rPr>
        <w:t>頁。</w:t>
      </w:r>
    </w:p>
  </w:footnote>
  <w:footnote w:id="38">
    <w:p w14:paraId="374444A8" w14:textId="77777777" w:rsidR="00AD0A42" w:rsidRDefault="00AD0A42" w:rsidP="00AD0A42">
      <w:pPr>
        <w:pStyle w:val="a5"/>
      </w:pPr>
      <w:r>
        <w:rPr>
          <w:rStyle w:val="a6"/>
        </w:rPr>
        <w:footnoteRef/>
      </w:r>
      <w:r>
        <w:t xml:space="preserve"> </w:t>
      </w:r>
      <w:r>
        <w:rPr>
          <w:rFonts w:hint="eastAsia"/>
        </w:rPr>
        <w:t>陳偉主編：《秦簡牘合集</w:t>
      </w:r>
      <w:r>
        <w:rPr>
          <w:rFonts w:hint="eastAsia"/>
        </w:rPr>
        <w:t>.</w:t>
      </w:r>
      <w:r>
        <w:rPr>
          <w:rFonts w:hint="eastAsia"/>
        </w:rPr>
        <w:t>釋文注釋修訂本（肆）》，武漢：武漢大學出版社，</w:t>
      </w:r>
      <w:r>
        <w:rPr>
          <w:rFonts w:hint="eastAsia"/>
        </w:rPr>
        <w:t>2016</w:t>
      </w:r>
      <w:r>
        <w:rPr>
          <w:rFonts w:hint="eastAsia"/>
        </w:rPr>
        <w:t>年，第</w:t>
      </w:r>
      <w:r>
        <w:rPr>
          <w:rFonts w:hint="eastAsia"/>
        </w:rPr>
        <w:t>113</w:t>
      </w:r>
      <w:r>
        <w:rPr>
          <w:rFonts w:hint="eastAsia"/>
        </w:rPr>
        <w:t>、</w:t>
      </w:r>
      <w:r>
        <w:rPr>
          <w:rFonts w:hint="eastAsia"/>
        </w:rPr>
        <w:t>120-121</w:t>
      </w:r>
      <w:r>
        <w:rPr>
          <w:rFonts w:hint="eastAsia"/>
        </w:rPr>
        <w:t>、</w:t>
      </w:r>
      <w:r>
        <w:rPr>
          <w:rFonts w:hint="eastAsia"/>
        </w:rPr>
        <w:t>125</w:t>
      </w:r>
      <w:r>
        <w:rPr>
          <w:rFonts w:hint="eastAsia"/>
        </w:rPr>
        <w:t>頁。</w:t>
      </w:r>
    </w:p>
  </w:footnote>
  <w:footnote w:id="39">
    <w:p w14:paraId="510AC403" w14:textId="77777777" w:rsidR="00AD0A42" w:rsidRDefault="00AD0A42" w:rsidP="00AD0A42">
      <w:pPr>
        <w:pStyle w:val="a5"/>
      </w:pPr>
      <w:r>
        <w:rPr>
          <w:rStyle w:val="a6"/>
        </w:rPr>
        <w:footnoteRef/>
      </w:r>
      <w:r>
        <w:t xml:space="preserve"> </w:t>
      </w:r>
      <w:r>
        <w:rPr>
          <w:rFonts w:hint="eastAsia"/>
        </w:rPr>
        <w:t>葛兆光語。見葛兆光：《中國思想史》第</w:t>
      </w:r>
      <w:r>
        <w:rPr>
          <w:rFonts w:hint="eastAsia"/>
        </w:rPr>
        <w:t>1</w:t>
      </w:r>
      <w:r>
        <w:rPr>
          <w:rFonts w:hint="eastAsia"/>
        </w:rPr>
        <w:t>卷，北京：商務印書館，</w:t>
      </w:r>
      <w:r>
        <w:rPr>
          <w:rFonts w:hint="eastAsia"/>
        </w:rPr>
        <w:t>2025</w:t>
      </w:r>
      <w:r>
        <w:rPr>
          <w:rFonts w:hint="eastAsia"/>
        </w:rPr>
        <w:t>年，第</w:t>
      </w:r>
      <w:r>
        <w:rPr>
          <w:rFonts w:hint="eastAsia"/>
        </w:rPr>
        <w:t>315-316</w:t>
      </w:r>
      <w:r>
        <w:rPr>
          <w:rFonts w:hint="eastAsia"/>
        </w:rPr>
        <w:t>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443B" w14:textId="77777777" w:rsidR="003E6BB9" w:rsidRDefault="003E6BB9" w:rsidP="00EF302F">
    <w:pPr>
      <w:pStyle w:val="af0"/>
      <w:spacing w:before="240" w:after="240"/>
      <w:ind w:firstLine="436"/>
      <w:rPr>
        <w:rFonts w:hint="eastAsia"/>
      </w:rPr>
    </w:pPr>
    <w:r>
      <w:rPr>
        <w:rFonts w:hint="eastAsia"/>
      </w:rPr>
      <w:t>复旦大学出土文献与古文字研究中心网站论文</w:t>
    </w:r>
  </w:p>
  <w:p w14:paraId="7B2A50E4" w14:textId="2F8A5E15" w:rsidR="00CF5EB2" w:rsidRPr="00CF5EB2" w:rsidRDefault="003E6BB9" w:rsidP="00CF5EB2">
    <w:pPr>
      <w:pStyle w:val="af0"/>
      <w:spacing w:before="240" w:after="240"/>
      <w:ind w:firstLine="436"/>
      <w:rPr>
        <w:rFonts w:hint="eastAsia"/>
      </w:rPr>
    </w:pPr>
    <w:r>
      <w:rPr>
        <w:rFonts w:hint="eastAsia"/>
      </w:rPr>
      <w:t>链接：</w:t>
    </w:r>
    <w:r w:rsidR="0030510A" w:rsidRPr="0030510A">
      <w:t>http://www.fdgwz.org.cn/Web/Show/</w:t>
    </w:r>
    <w:r w:rsidR="00CB05E8">
      <w:rPr>
        <w:rFonts w:hint="eastAsia"/>
      </w:rPr>
      <w:t>134</w:t>
    </w:r>
    <w:r w:rsidR="00B809BA">
      <w:rPr>
        <w:rFonts w:hint="eastAsia"/>
      </w:rPr>
      <w:t>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49.2pt;visibility:visible" o:bullet="t">
        <v:imagedata r:id="rId1" o:title=""/>
      </v:shape>
    </w:pict>
  </w:numPicBullet>
  <w:numPicBullet w:numPicBulletId="1">
    <w:pict>
      <v:shape id="_x0000_i1026" type="#_x0000_t75" style="width:21.6pt;height:28.2pt" o:bullet="t">
        <v:imagedata r:id="rId2" o:title=""/>
        <o:lock v:ext="edit" aspectratio="f"/>
      </v:shape>
    </w:pict>
  </w:numPicBullet>
  <w:numPicBullet w:numPicBulletId="2">
    <w:pict>
      <v:shape id="_x0000_i1027" type="#_x0000_t75" style="width:174pt;height:178.8pt;flip:y;visibility:visible;mso-wrap-style:square" o:bullet="t">
        <v:imagedata r:id="rId3" o:title=""/>
      </v:shape>
    </w:pict>
  </w:numPicBullet>
  <w:abstractNum w:abstractNumId="0" w15:restartNumberingAfterBreak="0">
    <w:nsid w:val="955CFB7C"/>
    <w:multiLevelType w:val="singleLevel"/>
    <w:tmpl w:val="955CFB7C"/>
    <w:lvl w:ilvl="0">
      <w:start w:val="1"/>
      <w:numFmt w:val="decimal"/>
      <w:suff w:val="nothing"/>
      <w:lvlText w:val="%1、"/>
      <w:lvlJc w:val="left"/>
      <w:pPr>
        <w:ind w:left="0" w:firstLine="0"/>
      </w:pPr>
    </w:lvl>
  </w:abstractNum>
  <w:abstractNum w:abstractNumId="1" w15:restartNumberingAfterBreak="0">
    <w:nsid w:val="A20F5609"/>
    <w:multiLevelType w:val="singleLevel"/>
    <w:tmpl w:val="A20F5609"/>
    <w:lvl w:ilvl="0">
      <w:start w:val="1"/>
      <w:numFmt w:val="decimal"/>
      <w:suff w:val="nothing"/>
      <w:lvlText w:val="%1、"/>
      <w:lvlJc w:val="left"/>
      <w:pPr>
        <w:ind w:left="0" w:firstLine="0"/>
      </w:pPr>
    </w:lvl>
  </w:abstractNum>
  <w:abstractNum w:abstractNumId="2" w15:restartNumberingAfterBreak="0">
    <w:nsid w:val="BB3C1429"/>
    <w:multiLevelType w:val="singleLevel"/>
    <w:tmpl w:val="BB3C1429"/>
    <w:lvl w:ilvl="0">
      <w:start w:val="1"/>
      <w:numFmt w:val="decimal"/>
      <w:suff w:val="nothing"/>
      <w:lvlText w:val="%1、"/>
      <w:lvlJc w:val="left"/>
    </w:lvl>
  </w:abstractNum>
  <w:abstractNum w:abstractNumId="3" w15:restartNumberingAfterBreak="0">
    <w:nsid w:val="F50E8A9D"/>
    <w:multiLevelType w:val="singleLevel"/>
    <w:tmpl w:val="0409000F"/>
    <w:lvl w:ilvl="0">
      <w:start w:val="1"/>
      <w:numFmt w:val="decimal"/>
      <w:lvlText w:val="%1."/>
      <w:lvlJc w:val="left"/>
      <w:pPr>
        <w:ind w:left="820" w:hanging="420"/>
      </w:pPr>
      <w:rPr>
        <w:rFonts w:hint="eastAsia"/>
      </w:rPr>
    </w:lvl>
  </w:abstractNum>
  <w:abstractNum w:abstractNumId="4" w15:restartNumberingAfterBreak="0">
    <w:nsid w:val="FFFFFF7C"/>
    <w:multiLevelType w:val="singleLevel"/>
    <w:tmpl w:val="48D214B0"/>
    <w:lvl w:ilvl="0">
      <w:start w:val="1"/>
      <w:numFmt w:val="decimal"/>
      <w:lvlText w:val="%1."/>
      <w:lvlJc w:val="left"/>
      <w:pPr>
        <w:tabs>
          <w:tab w:val="num" w:pos="2040"/>
        </w:tabs>
        <w:ind w:leftChars="800" w:left="2040" w:hangingChars="200" w:hanging="360"/>
      </w:pPr>
    </w:lvl>
  </w:abstractNum>
  <w:abstractNum w:abstractNumId="5" w15:restartNumberingAfterBreak="0">
    <w:nsid w:val="FFFFFF7D"/>
    <w:multiLevelType w:val="singleLevel"/>
    <w:tmpl w:val="28DCE70C"/>
    <w:lvl w:ilvl="0">
      <w:start w:val="1"/>
      <w:numFmt w:val="decimal"/>
      <w:lvlText w:val="%1."/>
      <w:lvlJc w:val="left"/>
      <w:pPr>
        <w:tabs>
          <w:tab w:val="num" w:pos="1620"/>
        </w:tabs>
        <w:ind w:leftChars="600" w:left="1620" w:hangingChars="200" w:hanging="360"/>
      </w:pPr>
    </w:lvl>
  </w:abstractNum>
  <w:abstractNum w:abstractNumId="6" w15:restartNumberingAfterBreak="0">
    <w:nsid w:val="FFFFFF7E"/>
    <w:multiLevelType w:val="singleLevel"/>
    <w:tmpl w:val="471C72C4"/>
    <w:lvl w:ilvl="0">
      <w:start w:val="1"/>
      <w:numFmt w:val="decimal"/>
      <w:lvlText w:val="%1."/>
      <w:lvlJc w:val="left"/>
      <w:pPr>
        <w:tabs>
          <w:tab w:val="num" w:pos="1200"/>
        </w:tabs>
        <w:ind w:leftChars="400" w:left="1200" w:hangingChars="200" w:hanging="360"/>
      </w:pPr>
    </w:lvl>
  </w:abstractNum>
  <w:abstractNum w:abstractNumId="7" w15:restartNumberingAfterBreak="0">
    <w:nsid w:val="FFFFFF7F"/>
    <w:multiLevelType w:val="singleLevel"/>
    <w:tmpl w:val="EC400746"/>
    <w:lvl w:ilvl="0">
      <w:start w:val="1"/>
      <w:numFmt w:val="decimal"/>
      <w:lvlText w:val="%1."/>
      <w:lvlJc w:val="left"/>
      <w:pPr>
        <w:tabs>
          <w:tab w:val="num" w:pos="780"/>
        </w:tabs>
        <w:ind w:leftChars="200" w:left="780" w:hangingChars="200" w:hanging="360"/>
      </w:pPr>
    </w:lvl>
  </w:abstractNum>
  <w:abstractNum w:abstractNumId="8" w15:restartNumberingAfterBreak="0">
    <w:nsid w:val="FFFFFF80"/>
    <w:multiLevelType w:val="singleLevel"/>
    <w:tmpl w:val="23700890"/>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9" w15:restartNumberingAfterBreak="0">
    <w:nsid w:val="FFFFFF81"/>
    <w:multiLevelType w:val="singleLevel"/>
    <w:tmpl w:val="98F0BFF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10" w15:restartNumberingAfterBreak="0">
    <w:nsid w:val="FFFFFF82"/>
    <w:multiLevelType w:val="singleLevel"/>
    <w:tmpl w:val="5E36B79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11" w15:restartNumberingAfterBreak="0">
    <w:nsid w:val="FFFFFF83"/>
    <w:multiLevelType w:val="singleLevel"/>
    <w:tmpl w:val="1CA2BCE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12" w15:restartNumberingAfterBreak="0">
    <w:nsid w:val="FFFFFF88"/>
    <w:multiLevelType w:val="singleLevel"/>
    <w:tmpl w:val="C6E00E7C"/>
    <w:lvl w:ilvl="0">
      <w:start w:val="1"/>
      <w:numFmt w:val="decimal"/>
      <w:lvlText w:val="%1."/>
      <w:lvlJc w:val="left"/>
      <w:pPr>
        <w:tabs>
          <w:tab w:val="num" w:pos="360"/>
        </w:tabs>
        <w:ind w:left="360" w:hangingChars="200" w:hanging="360"/>
      </w:pPr>
    </w:lvl>
  </w:abstractNum>
  <w:abstractNum w:abstractNumId="13" w15:restartNumberingAfterBreak="0">
    <w:nsid w:val="FFFFFF89"/>
    <w:multiLevelType w:val="singleLevel"/>
    <w:tmpl w:val="0C4873E0"/>
    <w:lvl w:ilvl="0">
      <w:start w:val="1"/>
      <w:numFmt w:val="bullet"/>
      <w:lvlText w:val=""/>
      <w:lvlJc w:val="left"/>
      <w:pPr>
        <w:tabs>
          <w:tab w:val="num" w:pos="360"/>
        </w:tabs>
        <w:ind w:left="360" w:hangingChars="200" w:hanging="360"/>
      </w:pPr>
      <w:rPr>
        <w:rFonts w:ascii="Wingdings" w:hAnsi="Wingdings" w:hint="default"/>
      </w:rPr>
    </w:lvl>
  </w:abstractNum>
  <w:abstractNum w:abstractNumId="14"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15:restartNumberingAfterBreak="0">
    <w:nsid w:val="0B404146"/>
    <w:multiLevelType w:val="multilevel"/>
    <w:tmpl w:val="9678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8A1A1E"/>
    <w:multiLevelType w:val="hybridMultilevel"/>
    <w:tmpl w:val="FB385B86"/>
    <w:lvl w:ilvl="0" w:tplc="E1BA1E12">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0F166FD2"/>
    <w:multiLevelType w:val="hybridMultilevel"/>
    <w:tmpl w:val="37727FE2"/>
    <w:lvl w:ilvl="0" w:tplc="6018D080">
      <w:start w:val="1"/>
      <w:numFmt w:val="decimalEnclosedCircle"/>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A351760"/>
    <w:multiLevelType w:val="hybridMultilevel"/>
    <w:tmpl w:val="D5B2B656"/>
    <w:lvl w:ilvl="0" w:tplc="A432AD5C">
      <w:start w:val="1"/>
      <w:numFmt w:val="bullet"/>
      <w:lvlText w:val=""/>
      <w:lvlPicBulletId w:val="2"/>
      <w:lvlJc w:val="left"/>
      <w:pPr>
        <w:tabs>
          <w:tab w:val="num" w:pos="420"/>
        </w:tabs>
        <w:ind w:left="420" w:firstLine="0"/>
      </w:pPr>
      <w:rPr>
        <w:rFonts w:ascii="Symbol" w:hAnsi="Symbol" w:hint="default"/>
      </w:rPr>
    </w:lvl>
    <w:lvl w:ilvl="1" w:tplc="28C22166" w:tentative="1">
      <w:start w:val="1"/>
      <w:numFmt w:val="bullet"/>
      <w:lvlText w:val=""/>
      <w:lvlJc w:val="left"/>
      <w:pPr>
        <w:tabs>
          <w:tab w:val="num" w:pos="840"/>
        </w:tabs>
        <w:ind w:left="840" w:firstLine="0"/>
      </w:pPr>
      <w:rPr>
        <w:rFonts w:ascii="Symbol" w:hAnsi="Symbol" w:hint="default"/>
      </w:rPr>
    </w:lvl>
    <w:lvl w:ilvl="2" w:tplc="A8184FDE" w:tentative="1">
      <w:start w:val="1"/>
      <w:numFmt w:val="bullet"/>
      <w:lvlText w:val=""/>
      <w:lvlJc w:val="left"/>
      <w:pPr>
        <w:tabs>
          <w:tab w:val="num" w:pos="1260"/>
        </w:tabs>
        <w:ind w:left="1260" w:firstLine="0"/>
      </w:pPr>
      <w:rPr>
        <w:rFonts w:ascii="Symbol" w:hAnsi="Symbol" w:hint="default"/>
      </w:rPr>
    </w:lvl>
    <w:lvl w:ilvl="3" w:tplc="4BD6AC66" w:tentative="1">
      <w:start w:val="1"/>
      <w:numFmt w:val="bullet"/>
      <w:lvlText w:val=""/>
      <w:lvlJc w:val="left"/>
      <w:pPr>
        <w:tabs>
          <w:tab w:val="num" w:pos="1680"/>
        </w:tabs>
        <w:ind w:left="1680" w:firstLine="0"/>
      </w:pPr>
      <w:rPr>
        <w:rFonts w:ascii="Symbol" w:hAnsi="Symbol" w:hint="default"/>
      </w:rPr>
    </w:lvl>
    <w:lvl w:ilvl="4" w:tplc="57FCBE14" w:tentative="1">
      <w:start w:val="1"/>
      <w:numFmt w:val="bullet"/>
      <w:lvlText w:val=""/>
      <w:lvlJc w:val="left"/>
      <w:pPr>
        <w:tabs>
          <w:tab w:val="num" w:pos="2100"/>
        </w:tabs>
        <w:ind w:left="2100" w:firstLine="0"/>
      </w:pPr>
      <w:rPr>
        <w:rFonts w:ascii="Symbol" w:hAnsi="Symbol" w:hint="default"/>
      </w:rPr>
    </w:lvl>
    <w:lvl w:ilvl="5" w:tplc="A71C5552" w:tentative="1">
      <w:start w:val="1"/>
      <w:numFmt w:val="bullet"/>
      <w:lvlText w:val=""/>
      <w:lvlJc w:val="left"/>
      <w:pPr>
        <w:tabs>
          <w:tab w:val="num" w:pos="2520"/>
        </w:tabs>
        <w:ind w:left="2520" w:firstLine="0"/>
      </w:pPr>
      <w:rPr>
        <w:rFonts w:ascii="Symbol" w:hAnsi="Symbol" w:hint="default"/>
      </w:rPr>
    </w:lvl>
    <w:lvl w:ilvl="6" w:tplc="94B8ED68" w:tentative="1">
      <w:start w:val="1"/>
      <w:numFmt w:val="bullet"/>
      <w:lvlText w:val=""/>
      <w:lvlJc w:val="left"/>
      <w:pPr>
        <w:tabs>
          <w:tab w:val="num" w:pos="2940"/>
        </w:tabs>
        <w:ind w:left="2940" w:firstLine="0"/>
      </w:pPr>
      <w:rPr>
        <w:rFonts w:ascii="Symbol" w:hAnsi="Symbol" w:hint="default"/>
      </w:rPr>
    </w:lvl>
    <w:lvl w:ilvl="7" w:tplc="6686A238" w:tentative="1">
      <w:start w:val="1"/>
      <w:numFmt w:val="bullet"/>
      <w:lvlText w:val=""/>
      <w:lvlJc w:val="left"/>
      <w:pPr>
        <w:tabs>
          <w:tab w:val="num" w:pos="3360"/>
        </w:tabs>
        <w:ind w:left="3360" w:firstLine="0"/>
      </w:pPr>
      <w:rPr>
        <w:rFonts w:ascii="Symbol" w:hAnsi="Symbol" w:hint="default"/>
      </w:rPr>
    </w:lvl>
    <w:lvl w:ilvl="8" w:tplc="C4988DAC" w:tentative="1">
      <w:start w:val="1"/>
      <w:numFmt w:val="bullet"/>
      <w:lvlText w:val=""/>
      <w:lvlJc w:val="left"/>
      <w:pPr>
        <w:tabs>
          <w:tab w:val="num" w:pos="3780"/>
        </w:tabs>
        <w:ind w:left="3780" w:firstLine="0"/>
      </w:pPr>
      <w:rPr>
        <w:rFonts w:ascii="Symbol" w:hAnsi="Symbol" w:hint="default"/>
      </w:rPr>
    </w:lvl>
  </w:abstractNum>
  <w:abstractNum w:abstractNumId="20" w15:restartNumberingAfterBreak="0">
    <w:nsid w:val="1C7B5226"/>
    <w:multiLevelType w:val="hybridMultilevel"/>
    <w:tmpl w:val="08B68A64"/>
    <w:lvl w:ilvl="0" w:tplc="EB5CC9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D601F82"/>
    <w:multiLevelType w:val="hybridMultilevel"/>
    <w:tmpl w:val="E2E2BB22"/>
    <w:lvl w:ilvl="0" w:tplc="8ECE0EF0">
      <w:start w:val="1"/>
      <w:numFmt w:val="bullet"/>
      <w:lvlText w:val=""/>
      <w:lvlPicBulletId w:val="2"/>
      <w:lvlJc w:val="left"/>
      <w:pPr>
        <w:tabs>
          <w:tab w:val="num" w:pos="420"/>
        </w:tabs>
        <w:ind w:left="420" w:firstLine="0"/>
      </w:pPr>
      <w:rPr>
        <w:rFonts w:ascii="Symbol" w:hAnsi="Symbol" w:hint="default"/>
      </w:rPr>
    </w:lvl>
    <w:lvl w:ilvl="1" w:tplc="82800450" w:tentative="1">
      <w:start w:val="1"/>
      <w:numFmt w:val="bullet"/>
      <w:lvlText w:val=""/>
      <w:lvlJc w:val="left"/>
      <w:pPr>
        <w:tabs>
          <w:tab w:val="num" w:pos="840"/>
        </w:tabs>
        <w:ind w:left="840" w:firstLine="0"/>
      </w:pPr>
      <w:rPr>
        <w:rFonts w:ascii="Symbol" w:hAnsi="Symbol" w:hint="default"/>
      </w:rPr>
    </w:lvl>
    <w:lvl w:ilvl="2" w:tplc="BDEC8900" w:tentative="1">
      <w:start w:val="1"/>
      <w:numFmt w:val="bullet"/>
      <w:lvlText w:val=""/>
      <w:lvlJc w:val="left"/>
      <w:pPr>
        <w:tabs>
          <w:tab w:val="num" w:pos="1260"/>
        </w:tabs>
        <w:ind w:left="1260" w:firstLine="0"/>
      </w:pPr>
      <w:rPr>
        <w:rFonts w:ascii="Symbol" w:hAnsi="Symbol" w:hint="default"/>
      </w:rPr>
    </w:lvl>
    <w:lvl w:ilvl="3" w:tplc="3A66D826" w:tentative="1">
      <w:start w:val="1"/>
      <w:numFmt w:val="bullet"/>
      <w:lvlText w:val=""/>
      <w:lvlJc w:val="left"/>
      <w:pPr>
        <w:tabs>
          <w:tab w:val="num" w:pos="1680"/>
        </w:tabs>
        <w:ind w:left="1680" w:firstLine="0"/>
      </w:pPr>
      <w:rPr>
        <w:rFonts w:ascii="Symbol" w:hAnsi="Symbol" w:hint="default"/>
      </w:rPr>
    </w:lvl>
    <w:lvl w:ilvl="4" w:tplc="B658C15A" w:tentative="1">
      <w:start w:val="1"/>
      <w:numFmt w:val="bullet"/>
      <w:lvlText w:val=""/>
      <w:lvlJc w:val="left"/>
      <w:pPr>
        <w:tabs>
          <w:tab w:val="num" w:pos="2100"/>
        </w:tabs>
        <w:ind w:left="2100" w:firstLine="0"/>
      </w:pPr>
      <w:rPr>
        <w:rFonts w:ascii="Symbol" w:hAnsi="Symbol" w:hint="default"/>
      </w:rPr>
    </w:lvl>
    <w:lvl w:ilvl="5" w:tplc="51FCB196" w:tentative="1">
      <w:start w:val="1"/>
      <w:numFmt w:val="bullet"/>
      <w:lvlText w:val=""/>
      <w:lvlJc w:val="left"/>
      <w:pPr>
        <w:tabs>
          <w:tab w:val="num" w:pos="2520"/>
        </w:tabs>
        <w:ind w:left="2520" w:firstLine="0"/>
      </w:pPr>
      <w:rPr>
        <w:rFonts w:ascii="Symbol" w:hAnsi="Symbol" w:hint="default"/>
      </w:rPr>
    </w:lvl>
    <w:lvl w:ilvl="6" w:tplc="75BC2972" w:tentative="1">
      <w:start w:val="1"/>
      <w:numFmt w:val="bullet"/>
      <w:lvlText w:val=""/>
      <w:lvlJc w:val="left"/>
      <w:pPr>
        <w:tabs>
          <w:tab w:val="num" w:pos="2940"/>
        </w:tabs>
        <w:ind w:left="2940" w:firstLine="0"/>
      </w:pPr>
      <w:rPr>
        <w:rFonts w:ascii="Symbol" w:hAnsi="Symbol" w:hint="default"/>
      </w:rPr>
    </w:lvl>
    <w:lvl w:ilvl="7" w:tplc="8188C278" w:tentative="1">
      <w:start w:val="1"/>
      <w:numFmt w:val="bullet"/>
      <w:lvlText w:val=""/>
      <w:lvlJc w:val="left"/>
      <w:pPr>
        <w:tabs>
          <w:tab w:val="num" w:pos="3360"/>
        </w:tabs>
        <w:ind w:left="3360" w:firstLine="0"/>
      </w:pPr>
      <w:rPr>
        <w:rFonts w:ascii="Symbol" w:hAnsi="Symbol" w:hint="default"/>
      </w:rPr>
    </w:lvl>
    <w:lvl w:ilvl="8" w:tplc="18108AFA" w:tentative="1">
      <w:start w:val="1"/>
      <w:numFmt w:val="bullet"/>
      <w:lvlText w:val=""/>
      <w:lvlJc w:val="left"/>
      <w:pPr>
        <w:tabs>
          <w:tab w:val="num" w:pos="3780"/>
        </w:tabs>
        <w:ind w:left="3780" w:firstLine="0"/>
      </w:pPr>
      <w:rPr>
        <w:rFonts w:ascii="Symbol" w:hAnsi="Symbol" w:hint="default"/>
      </w:rPr>
    </w:lvl>
  </w:abstractNum>
  <w:abstractNum w:abstractNumId="22" w15:restartNumberingAfterBreak="0">
    <w:nsid w:val="2ACD3F5C"/>
    <w:multiLevelType w:val="multilevel"/>
    <w:tmpl w:val="2ACD3F5C"/>
    <w:lvl w:ilvl="0">
      <w:start w:val="1"/>
      <w:numFmt w:val="decimalEnclosedCircle"/>
      <w:lvlText w:val="%1"/>
      <w:lvlJc w:val="left"/>
      <w:pPr>
        <w:ind w:left="840" w:hanging="360"/>
      </w:pPr>
      <w:rPr>
        <w:rFonts w:eastAsia="宋体"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15:restartNumberingAfterBreak="0">
    <w:nsid w:val="2CC370AE"/>
    <w:multiLevelType w:val="hybridMultilevel"/>
    <w:tmpl w:val="61EC0B60"/>
    <w:lvl w:ilvl="0" w:tplc="D5047E0E">
      <w:start w:val="4"/>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2CDE0CDC"/>
    <w:multiLevelType w:val="hybridMultilevel"/>
    <w:tmpl w:val="05AC0C58"/>
    <w:lvl w:ilvl="0" w:tplc="065679BA">
      <w:start w:val="1"/>
      <w:numFmt w:val="bullet"/>
      <w:lvlText w:val=""/>
      <w:lvlPicBulletId w:val="0"/>
      <w:lvlJc w:val="left"/>
      <w:pPr>
        <w:tabs>
          <w:tab w:val="num" w:pos="425"/>
        </w:tabs>
        <w:ind w:left="425" w:firstLine="0"/>
      </w:pPr>
      <w:rPr>
        <w:rFonts w:ascii="Symbol" w:hAnsi="Symbol" w:hint="default"/>
      </w:rPr>
    </w:lvl>
    <w:lvl w:ilvl="1" w:tplc="53566A8A" w:tentative="1">
      <w:start w:val="1"/>
      <w:numFmt w:val="bullet"/>
      <w:lvlText w:val=""/>
      <w:lvlJc w:val="left"/>
      <w:pPr>
        <w:tabs>
          <w:tab w:val="num" w:pos="845"/>
        </w:tabs>
        <w:ind w:left="845" w:firstLine="0"/>
      </w:pPr>
      <w:rPr>
        <w:rFonts w:ascii="Symbol" w:hAnsi="Symbol" w:hint="default"/>
      </w:rPr>
    </w:lvl>
    <w:lvl w:ilvl="2" w:tplc="A760B10A" w:tentative="1">
      <w:start w:val="1"/>
      <w:numFmt w:val="bullet"/>
      <w:lvlText w:val=""/>
      <w:lvlJc w:val="left"/>
      <w:pPr>
        <w:tabs>
          <w:tab w:val="num" w:pos="1265"/>
        </w:tabs>
        <w:ind w:left="1265" w:firstLine="0"/>
      </w:pPr>
      <w:rPr>
        <w:rFonts w:ascii="Symbol" w:hAnsi="Symbol" w:hint="default"/>
      </w:rPr>
    </w:lvl>
    <w:lvl w:ilvl="3" w:tplc="6744FE6C" w:tentative="1">
      <w:start w:val="1"/>
      <w:numFmt w:val="bullet"/>
      <w:lvlText w:val=""/>
      <w:lvlJc w:val="left"/>
      <w:pPr>
        <w:tabs>
          <w:tab w:val="num" w:pos="1685"/>
        </w:tabs>
        <w:ind w:left="1685" w:firstLine="0"/>
      </w:pPr>
      <w:rPr>
        <w:rFonts w:ascii="Symbol" w:hAnsi="Symbol" w:hint="default"/>
      </w:rPr>
    </w:lvl>
    <w:lvl w:ilvl="4" w:tplc="31B2C73E" w:tentative="1">
      <w:start w:val="1"/>
      <w:numFmt w:val="bullet"/>
      <w:lvlText w:val=""/>
      <w:lvlJc w:val="left"/>
      <w:pPr>
        <w:tabs>
          <w:tab w:val="num" w:pos="2105"/>
        </w:tabs>
        <w:ind w:left="2105" w:firstLine="0"/>
      </w:pPr>
      <w:rPr>
        <w:rFonts w:ascii="Symbol" w:hAnsi="Symbol" w:hint="default"/>
      </w:rPr>
    </w:lvl>
    <w:lvl w:ilvl="5" w:tplc="385EF4D8" w:tentative="1">
      <w:start w:val="1"/>
      <w:numFmt w:val="bullet"/>
      <w:lvlText w:val=""/>
      <w:lvlJc w:val="left"/>
      <w:pPr>
        <w:tabs>
          <w:tab w:val="num" w:pos="2525"/>
        </w:tabs>
        <w:ind w:left="2525" w:firstLine="0"/>
      </w:pPr>
      <w:rPr>
        <w:rFonts w:ascii="Symbol" w:hAnsi="Symbol" w:hint="default"/>
      </w:rPr>
    </w:lvl>
    <w:lvl w:ilvl="6" w:tplc="C2584B26" w:tentative="1">
      <w:start w:val="1"/>
      <w:numFmt w:val="bullet"/>
      <w:lvlText w:val=""/>
      <w:lvlJc w:val="left"/>
      <w:pPr>
        <w:tabs>
          <w:tab w:val="num" w:pos="2945"/>
        </w:tabs>
        <w:ind w:left="2945" w:firstLine="0"/>
      </w:pPr>
      <w:rPr>
        <w:rFonts w:ascii="Symbol" w:hAnsi="Symbol" w:hint="default"/>
      </w:rPr>
    </w:lvl>
    <w:lvl w:ilvl="7" w:tplc="7F404752" w:tentative="1">
      <w:start w:val="1"/>
      <w:numFmt w:val="bullet"/>
      <w:lvlText w:val=""/>
      <w:lvlJc w:val="left"/>
      <w:pPr>
        <w:tabs>
          <w:tab w:val="num" w:pos="3365"/>
        </w:tabs>
        <w:ind w:left="3365" w:firstLine="0"/>
      </w:pPr>
      <w:rPr>
        <w:rFonts w:ascii="Symbol" w:hAnsi="Symbol" w:hint="default"/>
      </w:rPr>
    </w:lvl>
    <w:lvl w:ilvl="8" w:tplc="829C36C4" w:tentative="1">
      <w:start w:val="1"/>
      <w:numFmt w:val="bullet"/>
      <w:lvlText w:val=""/>
      <w:lvlJc w:val="left"/>
      <w:pPr>
        <w:tabs>
          <w:tab w:val="num" w:pos="3785"/>
        </w:tabs>
        <w:ind w:left="3785" w:firstLine="0"/>
      </w:pPr>
      <w:rPr>
        <w:rFonts w:ascii="Symbol" w:hAnsi="Symbol" w:hint="default"/>
      </w:rPr>
    </w:lvl>
  </w:abstractNum>
  <w:abstractNum w:abstractNumId="25" w15:restartNumberingAfterBreak="0">
    <w:nsid w:val="2EBE67E8"/>
    <w:multiLevelType w:val="hybridMultilevel"/>
    <w:tmpl w:val="1ACC7CBA"/>
    <w:lvl w:ilvl="0" w:tplc="23BC5BC6">
      <w:start w:val="1"/>
      <w:numFmt w:val="upperLetter"/>
      <w:lvlText w:val="%1．"/>
      <w:lvlJc w:val="left"/>
      <w:pPr>
        <w:ind w:left="1412" w:hanging="420"/>
      </w:pPr>
      <w:rPr>
        <w:rFonts w:hint="default"/>
        <w:sz w:val="28"/>
        <w:szCs w:val="28"/>
      </w:rPr>
    </w:lvl>
    <w:lvl w:ilvl="1" w:tplc="04090019">
      <w:start w:val="1"/>
      <w:numFmt w:val="lowerLetter"/>
      <w:lvlText w:val="%2)"/>
      <w:lvlJc w:val="left"/>
      <w:pPr>
        <w:ind w:left="1832" w:hanging="420"/>
      </w:pPr>
    </w:lvl>
    <w:lvl w:ilvl="2" w:tplc="0409001B">
      <w:start w:val="1"/>
      <w:numFmt w:val="lowerRoman"/>
      <w:lvlText w:val="%3."/>
      <w:lvlJc w:val="right"/>
      <w:pPr>
        <w:ind w:left="2252" w:hanging="420"/>
      </w:pPr>
    </w:lvl>
    <w:lvl w:ilvl="3" w:tplc="0409000F">
      <w:start w:val="1"/>
      <w:numFmt w:val="decimal"/>
      <w:lvlText w:val="%4."/>
      <w:lvlJc w:val="left"/>
      <w:pPr>
        <w:ind w:left="2672" w:hanging="420"/>
      </w:pPr>
    </w:lvl>
    <w:lvl w:ilvl="4" w:tplc="04090019">
      <w:start w:val="1"/>
      <w:numFmt w:val="lowerLetter"/>
      <w:lvlText w:val="%5)"/>
      <w:lvlJc w:val="left"/>
      <w:pPr>
        <w:ind w:left="3092" w:hanging="420"/>
      </w:pPr>
    </w:lvl>
    <w:lvl w:ilvl="5" w:tplc="0409001B">
      <w:start w:val="1"/>
      <w:numFmt w:val="lowerRoman"/>
      <w:lvlText w:val="%6."/>
      <w:lvlJc w:val="right"/>
      <w:pPr>
        <w:ind w:left="3512" w:hanging="420"/>
      </w:pPr>
    </w:lvl>
    <w:lvl w:ilvl="6" w:tplc="0409000F">
      <w:start w:val="1"/>
      <w:numFmt w:val="decimal"/>
      <w:lvlText w:val="%7."/>
      <w:lvlJc w:val="left"/>
      <w:pPr>
        <w:ind w:left="3932" w:hanging="420"/>
      </w:pPr>
    </w:lvl>
    <w:lvl w:ilvl="7" w:tplc="04090019">
      <w:start w:val="1"/>
      <w:numFmt w:val="lowerLetter"/>
      <w:lvlText w:val="%8)"/>
      <w:lvlJc w:val="left"/>
      <w:pPr>
        <w:ind w:left="4352" w:hanging="420"/>
      </w:pPr>
    </w:lvl>
    <w:lvl w:ilvl="8" w:tplc="0409001B">
      <w:start w:val="1"/>
      <w:numFmt w:val="lowerRoman"/>
      <w:lvlText w:val="%9."/>
      <w:lvlJc w:val="right"/>
      <w:pPr>
        <w:ind w:left="4772" w:hanging="420"/>
      </w:pPr>
    </w:lvl>
  </w:abstractNum>
  <w:abstractNum w:abstractNumId="26" w15:restartNumberingAfterBreak="0">
    <w:nsid w:val="2F46479A"/>
    <w:multiLevelType w:val="multilevel"/>
    <w:tmpl w:val="4980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CA01D9"/>
    <w:multiLevelType w:val="hybridMultilevel"/>
    <w:tmpl w:val="0B0E8BB6"/>
    <w:lvl w:ilvl="0" w:tplc="981873C6">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8" w15:restartNumberingAfterBreak="0">
    <w:nsid w:val="38753260"/>
    <w:multiLevelType w:val="hybridMultilevel"/>
    <w:tmpl w:val="75ACB88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3A99374A"/>
    <w:multiLevelType w:val="hybridMultilevel"/>
    <w:tmpl w:val="6C2A18AA"/>
    <w:lvl w:ilvl="0" w:tplc="65D4124C">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3EEAB6D7"/>
    <w:multiLevelType w:val="singleLevel"/>
    <w:tmpl w:val="3EEAB6D7"/>
    <w:lvl w:ilvl="0">
      <w:start w:val="1"/>
      <w:numFmt w:val="decimal"/>
      <w:lvlText w:val="%1)"/>
      <w:lvlJc w:val="left"/>
      <w:pPr>
        <w:ind w:left="425" w:hanging="425"/>
      </w:pPr>
      <w:rPr>
        <w:rFonts w:hint="default"/>
      </w:rPr>
    </w:lvl>
  </w:abstractNum>
  <w:abstractNum w:abstractNumId="31" w15:restartNumberingAfterBreak="0">
    <w:nsid w:val="48E6620D"/>
    <w:multiLevelType w:val="hybridMultilevel"/>
    <w:tmpl w:val="39D87C88"/>
    <w:lvl w:ilvl="0" w:tplc="6018D08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4DDD61B6"/>
    <w:multiLevelType w:val="multilevel"/>
    <w:tmpl w:val="AA2E2B1C"/>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09F2A2B"/>
    <w:multiLevelType w:val="multilevel"/>
    <w:tmpl w:val="509F2A2B"/>
    <w:lvl w:ilvl="0">
      <w:start w:val="1"/>
      <w:numFmt w:val="decimalEnclosedCircle"/>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4" w15:restartNumberingAfterBreak="0">
    <w:nsid w:val="57326814"/>
    <w:multiLevelType w:val="multilevel"/>
    <w:tmpl w:val="57326814"/>
    <w:lvl w:ilvl="0">
      <w:start w:val="1"/>
      <w:numFmt w:val="decimalEnclosedCircle"/>
      <w:lvlText w:val="%1"/>
      <w:lvlJc w:val="left"/>
      <w:pPr>
        <w:ind w:left="842" w:hanging="36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5" w15:restartNumberingAfterBreak="0">
    <w:nsid w:val="57797F15"/>
    <w:multiLevelType w:val="multilevel"/>
    <w:tmpl w:val="19F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E88CA6"/>
    <w:multiLevelType w:val="singleLevel"/>
    <w:tmpl w:val="59E88CA6"/>
    <w:lvl w:ilvl="0">
      <w:start w:val="1"/>
      <w:numFmt w:val="chineseCounting"/>
      <w:suff w:val="nothing"/>
      <w:lvlText w:val="%1、"/>
      <w:lvlJc w:val="left"/>
      <w:rPr>
        <w:rFonts w:hint="eastAsia"/>
      </w:rPr>
    </w:lvl>
  </w:abstractNum>
  <w:abstractNum w:abstractNumId="37" w15:restartNumberingAfterBreak="0">
    <w:nsid w:val="5A707373"/>
    <w:multiLevelType w:val="singleLevel"/>
    <w:tmpl w:val="5A707373"/>
    <w:lvl w:ilvl="0">
      <w:start w:val="1"/>
      <w:numFmt w:val="chineseCounting"/>
      <w:suff w:val="nothing"/>
      <w:lvlText w:val="第%1，"/>
      <w:lvlJc w:val="left"/>
    </w:lvl>
  </w:abstractNum>
  <w:abstractNum w:abstractNumId="38" w15:restartNumberingAfterBreak="0">
    <w:nsid w:val="6B7831A7"/>
    <w:multiLevelType w:val="multilevel"/>
    <w:tmpl w:val="262C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FF26E1"/>
    <w:multiLevelType w:val="hybridMultilevel"/>
    <w:tmpl w:val="F5AA1A34"/>
    <w:lvl w:ilvl="0" w:tplc="A9A246B0">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6E910782"/>
    <w:multiLevelType w:val="hybridMultilevel"/>
    <w:tmpl w:val="5A8E64B0"/>
    <w:lvl w:ilvl="0" w:tplc="3014B950">
      <w:start w:val="1"/>
      <w:numFmt w:val="bullet"/>
      <w:lvlText w:val=""/>
      <w:lvlPicBulletId w:val="1"/>
      <w:lvlJc w:val="left"/>
      <w:pPr>
        <w:tabs>
          <w:tab w:val="num" w:pos="420"/>
        </w:tabs>
        <w:ind w:left="420" w:firstLine="0"/>
      </w:pPr>
      <w:rPr>
        <w:rFonts w:ascii="Symbol" w:hAnsi="Symbol" w:hint="default"/>
      </w:rPr>
    </w:lvl>
    <w:lvl w:ilvl="1" w:tplc="BDC83F00" w:tentative="1">
      <w:start w:val="1"/>
      <w:numFmt w:val="bullet"/>
      <w:lvlText w:val=""/>
      <w:lvlJc w:val="left"/>
      <w:pPr>
        <w:tabs>
          <w:tab w:val="num" w:pos="840"/>
        </w:tabs>
        <w:ind w:left="840" w:firstLine="0"/>
      </w:pPr>
      <w:rPr>
        <w:rFonts w:ascii="Symbol" w:hAnsi="Symbol" w:hint="default"/>
      </w:rPr>
    </w:lvl>
    <w:lvl w:ilvl="2" w:tplc="348A08DE" w:tentative="1">
      <w:start w:val="1"/>
      <w:numFmt w:val="bullet"/>
      <w:lvlText w:val=""/>
      <w:lvlJc w:val="left"/>
      <w:pPr>
        <w:tabs>
          <w:tab w:val="num" w:pos="1260"/>
        </w:tabs>
        <w:ind w:left="1260" w:firstLine="0"/>
      </w:pPr>
      <w:rPr>
        <w:rFonts w:ascii="Symbol" w:hAnsi="Symbol" w:hint="default"/>
      </w:rPr>
    </w:lvl>
    <w:lvl w:ilvl="3" w:tplc="864A5D1C" w:tentative="1">
      <w:start w:val="1"/>
      <w:numFmt w:val="bullet"/>
      <w:lvlText w:val=""/>
      <w:lvlJc w:val="left"/>
      <w:pPr>
        <w:tabs>
          <w:tab w:val="num" w:pos="1680"/>
        </w:tabs>
        <w:ind w:left="1680" w:firstLine="0"/>
      </w:pPr>
      <w:rPr>
        <w:rFonts w:ascii="Symbol" w:hAnsi="Symbol" w:hint="default"/>
      </w:rPr>
    </w:lvl>
    <w:lvl w:ilvl="4" w:tplc="5F84A34C" w:tentative="1">
      <w:start w:val="1"/>
      <w:numFmt w:val="bullet"/>
      <w:lvlText w:val=""/>
      <w:lvlJc w:val="left"/>
      <w:pPr>
        <w:tabs>
          <w:tab w:val="num" w:pos="2100"/>
        </w:tabs>
        <w:ind w:left="2100" w:firstLine="0"/>
      </w:pPr>
      <w:rPr>
        <w:rFonts w:ascii="Symbol" w:hAnsi="Symbol" w:hint="default"/>
      </w:rPr>
    </w:lvl>
    <w:lvl w:ilvl="5" w:tplc="2AF2EF72" w:tentative="1">
      <w:start w:val="1"/>
      <w:numFmt w:val="bullet"/>
      <w:lvlText w:val=""/>
      <w:lvlJc w:val="left"/>
      <w:pPr>
        <w:tabs>
          <w:tab w:val="num" w:pos="2520"/>
        </w:tabs>
        <w:ind w:left="2520" w:firstLine="0"/>
      </w:pPr>
      <w:rPr>
        <w:rFonts w:ascii="Symbol" w:hAnsi="Symbol" w:hint="default"/>
      </w:rPr>
    </w:lvl>
    <w:lvl w:ilvl="6" w:tplc="8E84CCE8" w:tentative="1">
      <w:start w:val="1"/>
      <w:numFmt w:val="bullet"/>
      <w:lvlText w:val=""/>
      <w:lvlJc w:val="left"/>
      <w:pPr>
        <w:tabs>
          <w:tab w:val="num" w:pos="2940"/>
        </w:tabs>
        <w:ind w:left="2940" w:firstLine="0"/>
      </w:pPr>
      <w:rPr>
        <w:rFonts w:ascii="Symbol" w:hAnsi="Symbol" w:hint="default"/>
      </w:rPr>
    </w:lvl>
    <w:lvl w:ilvl="7" w:tplc="86CA9DCC" w:tentative="1">
      <w:start w:val="1"/>
      <w:numFmt w:val="bullet"/>
      <w:lvlText w:val=""/>
      <w:lvlJc w:val="left"/>
      <w:pPr>
        <w:tabs>
          <w:tab w:val="num" w:pos="3360"/>
        </w:tabs>
        <w:ind w:left="3360" w:firstLine="0"/>
      </w:pPr>
      <w:rPr>
        <w:rFonts w:ascii="Symbol" w:hAnsi="Symbol" w:hint="default"/>
      </w:rPr>
    </w:lvl>
    <w:lvl w:ilvl="8" w:tplc="4456FF92" w:tentative="1">
      <w:start w:val="1"/>
      <w:numFmt w:val="bullet"/>
      <w:lvlText w:val=""/>
      <w:lvlJc w:val="left"/>
      <w:pPr>
        <w:tabs>
          <w:tab w:val="num" w:pos="3780"/>
        </w:tabs>
        <w:ind w:left="3780" w:firstLine="0"/>
      </w:pPr>
      <w:rPr>
        <w:rFonts w:ascii="Symbol" w:hAnsi="Symbol" w:hint="default"/>
      </w:rPr>
    </w:lvl>
  </w:abstractNum>
  <w:abstractNum w:abstractNumId="41" w15:restartNumberingAfterBreak="0">
    <w:nsid w:val="718003A6"/>
    <w:multiLevelType w:val="multilevel"/>
    <w:tmpl w:val="56DE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F10A2F"/>
    <w:multiLevelType w:val="hybridMultilevel"/>
    <w:tmpl w:val="0C8CD2C0"/>
    <w:lvl w:ilvl="0" w:tplc="E4F4E5C6">
      <w:start w:val="2"/>
      <w:numFmt w:val="bullet"/>
      <w:lvlText w:val="·"/>
      <w:lvlJc w:val="left"/>
      <w:pPr>
        <w:ind w:left="360" w:hanging="360"/>
      </w:pPr>
      <w:rPr>
        <w:rFonts w:ascii="宋体" w:eastAsia="宋体" w:hAnsi="宋体" w:cs="宋体"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73E90BD4"/>
    <w:multiLevelType w:val="hybridMultilevel"/>
    <w:tmpl w:val="EDE0488A"/>
    <w:lvl w:ilvl="0" w:tplc="36A6E10A">
      <w:start w:val="4"/>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75366449"/>
    <w:multiLevelType w:val="multilevel"/>
    <w:tmpl w:val="38F0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A33DD3"/>
    <w:multiLevelType w:val="hybridMultilevel"/>
    <w:tmpl w:val="170C7D18"/>
    <w:lvl w:ilvl="0" w:tplc="97B818FA">
      <w:start w:val="1"/>
      <w:numFmt w:val="bullet"/>
      <w:lvlText w:val=""/>
      <w:lvlPicBulletId w:val="2"/>
      <w:lvlJc w:val="left"/>
      <w:pPr>
        <w:tabs>
          <w:tab w:val="num" w:pos="420"/>
        </w:tabs>
        <w:ind w:left="420" w:firstLine="0"/>
      </w:pPr>
      <w:rPr>
        <w:rFonts w:ascii="Symbol" w:hAnsi="Symbol" w:hint="default"/>
      </w:rPr>
    </w:lvl>
    <w:lvl w:ilvl="1" w:tplc="6F7A3842" w:tentative="1">
      <w:start w:val="1"/>
      <w:numFmt w:val="bullet"/>
      <w:lvlText w:val=""/>
      <w:lvlJc w:val="left"/>
      <w:pPr>
        <w:tabs>
          <w:tab w:val="num" w:pos="840"/>
        </w:tabs>
        <w:ind w:left="840" w:firstLine="0"/>
      </w:pPr>
      <w:rPr>
        <w:rFonts w:ascii="Symbol" w:hAnsi="Symbol" w:hint="default"/>
      </w:rPr>
    </w:lvl>
    <w:lvl w:ilvl="2" w:tplc="BD3E64BE" w:tentative="1">
      <w:start w:val="1"/>
      <w:numFmt w:val="bullet"/>
      <w:lvlText w:val=""/>
      <w:lvlJc w:val="left"/>
      <w:pPr>
        <w:tabs>
          <w:tab w:val="num" w:pos="1260"/>
        </w:tabs>
        <w:ind w:left="1260" w:firstLine="0"/>
      </w:pPr>
      <w:rPr>
        <w:rFonts w:ascii="Symbol" w:hAnsi="Symbol" w:hint="default"/>
      </w:rPr>
    </w:lvl>
    <w:lvl w:ilvl="3" w:tplc="3B489EAA" w:tentative="1">
      <w:start w:val="1"/>
      <w:numFmt w:val="bullet"/>
      <w:lvlText w:val=""/>
      <w:lvlJc w:val="left"/>
      <w:pPr>
        <w:tabs>
          <w:tab w:val="num" w:pos="1680"/>
        </w:tabs>
        <w:ind w:left="1680" w:firstLine="0"/>
      </w:pPr>
      <w:rPr>
        <w:rFonts w:ascii="Symbol" w:hAnsi="Symbol" w:hint="default"/>
      </w:rPr>
    </w:lvl>
    <w:lvl w:ilvl="4" w:tplc="69A2EFB6" w:tentative="1">
      <w:start w:val="1"/>
      <w:numFmt w:val="bullet"/>
      <w:lvlText w:val=""/>
      <w:lvlJc w:val="left"/>
      <w:pPr>
        <w:tabs>
          <w:tab w:val="num" w:pos="2100"/>
        </w:tabs>
        <w:ind w:left="2100" w:firstLine="0"/>
      </w:pPr>
      <w:rPr>
        <w:rFonts w:ascii="Symbol" w:hAnsi="Symbol" w:hint="default"/>
      </w:rPr>
    </w:lvl>
    <w:lvl w:ilvl="5" w:tplc="D6AE5C66" w:tentative="1">
      <w:start w:val="1"/>
      <w:numFmt w:val="bullet"/>
      <w:lvlText w:val=""/>
      <w:lvlJc w:val="left"/>
      <w:pPr>
        <w:tabs>
          <w:tab w:val="num" w:pos="2520"/>
        </w:tabs>
        <w:ind w:left="2520" w:firstLine="0"/>
      </w:pPr>
      <w:rPr>
        <w:rFonts w:ascii="Symbol" w:hAnsi="Symbol" w:hint="default"/>
      </w:rPr>
    </w:lvl>
    <w:lvl w:ilvl="6" w:tplc="44A0207C" w:tentative="1">
      <w:start w:val="1"/>
      <w:numFmt w:val="bullet"/>
      <w:lvlText w:val=""/>
      <w:lvlJc w:val="left"/>
      <w:pPr>
        <w:tabs>
          <w:tab w:val="num" w:pos="2940"/>
        </w:tabs>
        <w:ind w:left="2940" w:firstLine="0"/>
      </w:pPr>
      <w:rPr>
        <w:rFonts w:ascii="Symbol" w:hAnsi="Symbol" w:hint="default"/>
      </w:rPr>
    </w:lvl>
    <w:lvl w:ilvl="7" w:tplc="9DB23864" w:tentative="1">
      <w:start w:val="1"/>
      <w:numFmt w:val="bullet"/>
      <w:lvlText w:val=""/>
      <w:lvlJc w:val="left"/>
      <w:pPr>
        <w:tabs>
          <w:tab w:val="num" w:pos="3360"/>
        </w:tabs>
        <w:ind w:left="3360" w:firstLine="0"/>
      </w:pPr>
      <w:rPr>
        <w:rFonts w:ascii="Symbol" w:hAnsi="Symbol" w:hint="default"/>
      </w:rPr>
    </w:lvl>
    <w:lvl w:ilvl="8" w:tplc="D34223D8" w:tentative="1">
      <w:start w:val="1"/>
      <w:numFmt w:val="bullet"/>
      <w:lvlText w:val=""/>
      <w:lvlJc w:val="left"/>
      <w:pPr>
        <w:tabs>
          <w:tab w:val="num" w:pos="3780"/>
        </w:tabs>
        <w:ind w:left="3780" w:firstLine="0"/>
      </w:pPr>
      <w:rPr>
        <w:rFonts w:ascii="Symbol" w:hAnsi="Symbol" w:hint="default"/>
      </w:rPr>
    </w:lvl>
  </w:abstractNum>
  <w:num w:numId="1" w16cid:durableId="875041897">
    <w:abstractNumId w:val="24"/>
  </w:num>
  <w:num w:numId="2" w16cid:durableId="1370034272">
    <w:abstractNumId w:val="40"/>
  </w:num>
  <w:num w:numId="3" w16cid:durableId="680935010">
    <w:abstractNumId w:val="25"/>
  </w:num>
  <w:num w:numId="4" w16cid:durableId="932411">
    <w:abstractNumId w:val="36"/>
  </w:num>
  <w:num w:numId="5" w16cid:durableId="1601986532">
    <w:abstractNumId w:val="2"/>
  </w:num>
  <w:num w:numId="6" w16cid:durableId="1237936790">
    <w:abstractNumId w:val="37"/>
  </w:num>
  <w:num w:numId="7" w16cid:durableId="98527396">
    <w:abstractNumId w:val="28"/>
  </w:num>
  <w:num w:numId="8" w16cid:durableId="1825317576">
    <w:abstractNumId w:val="1"/>
    <w:lvlOverride w:ilvl="0">
      <w:startOverride w:val="1"/>
    </w:lvlOverride>
  </w:num>
  <w:num w:numId="9" w16cid:durableId="1070274433">
    <w:abstractNumId w:val="0"/>
    <w:lvlOverride w:ilvl="0">
      <w:startOverride w:val="1"/>
    </w:lvlOverride>
  </w:num>
  <w:num w:numId="10" w16cid:durableId="498038607">
    <w:abstractNumId w:val="20"/>
  </w:num>
  <w:num w:numId="11" w16cid:durableId="381637301">
    <w:abstractNumId w:val="27"/>
  </w:num>
  <w:num w:numId="12" w16cid:durableId="2042630965">
    <w:abstractNumId w:val="17"/>
  </w:num>
  <w:num w:numId="13" w16cid:durableId="1885948243">
    <w:abstractNumId w:val="14"/>
  </w:num>
  <w:num w:numId="14" w16cid:durableId="277639264">
    <w:abstractNumId w:val="15"/>
  </w:num>
  <w:num w:numId="15" w16cid:durableId="341980971">
    <w:abstractNumId w:val="26"/>
  </w:num>
  <w:num w:numId="16" w16cid:durableId="1205286409">
    <w:abstractNumId w:val="38"/>
  </w:num>
  <w:num w:numId="17" w16cid:durableId="1914271759">
    <w:abstractNumId w:val="44"/>
  </w:num>
  <w:num w:numId="18" w16cid:durableId="2035496238">
    <w:abstractNumId w:val="35"/>
  </w:num>
  <w:num w:numId="19" w16cid:durableId="1329945732">
    <w:abstractNumId w:val="16"/>
  </w:num>
  <w:num w:numId="20" w16cid:durableId="711735556">
    <w:abstractNumId w:val="41"/>
  </w:num>
  <w:num w:numId="21" w16cid:durableId="177549515">
    <w:abstractNumId w:val="13"/>
  </w:num>
  <w:num w:numId="22" w16cid:durableId="699474775">
    <w:abstractNumId w:val="12"/>
  </w:num>
  <w:num w:numId="23" w16cid:durableId="1696079162">
    <w:abstractNumId w:val="11"/>
  </w:num>
  <w:num w:numId="24" w16cid:durableId="1887525156">
    <w:abstractNumId w:val="10"/>
  </w:num>
  <w:num w:numId="25" w16cid:durableId="208342458">
    <w:abstractNumId w:val="9"/>
  </w:num>
  <w:num w:numId="26" w16cid:durableId="1664432456">
    <w:abstractNumId w:val="8"/>
  </w:num>
  <w:num w:numId="27" w16cid:durableId="974607810">
    <w:abstractNumId w:val="7"/>
  </w:num>
  <w:num w:numId="28" w16cid:durableId="1053963365">
    <w:abstractNumId w:val="6"/>
  </w:num>
  <w:num w:numId="29" w16cid:durableId="369496480">
    <w:abstractNumId w:val="5"/>
  </w:num>
  <w:num w:numId="30" w16cid:durableId="434524272">
    <w:abstractNumId w:val="4"/>
  </w:num>
  <w:num w:numId="31" w16cid:durableId="2131776505">
    <w:abstractNumId w:val="30"/>
  </w:num>
  <w:num w:numId="32" w16cid:durableId="706638738">
    <w:abstractNumId w:val="34"/>
  </w:num>
  <w:num w:numId="33" w16cid:durableId="7411404">
    <w:abstractNumId w:val="33"/>
  </w:num>
  <w:num w:numId="34" w16cid:durableId="1409231967">
    <w:abstractNumId w:val="22"/>
  </w:num>
  <w:num w:numId="35" w16cid:durableId="1954364016">
    <w:abstractNumId w:val="3"/>
  </w:num>
  <w:num w:numId="36" w16cid:durableId="210726679">
    <w:abstractNumId w:val="29"/>
  </w:num>
  <w:num w:numId="37" w16cid:durableId="730153199">
    <w:abstractNumId w:val="31"/>
  </w:num>
  <w:num w:numId="38" w16cid:durableId="304704312">
    <w:abstractNumId w:val="18"/>
  </w:num>
  <w:num w:numId="39" w16cid:durableId="1615359395">
    <w:abstractNumId w:val="39"/>
  </w:num>
  <w:num w:numId="40" w16cid:durableId="1240603373">
    <w:abstractNumId w:val="32"/>
  </w:num>
  <w:num w:numId="41" w16cid:durableId="198277716">
    <w:abstractNumId w:val="21"/>
  </w:num>
  <w:num w:numId="42" w16cid:durableId="1515418319">
    <w:abstractNumId w:val="42"/>
  </w:num>
  <w:num w:numId="43" w16cid:durableId="145442196">
    <w:abstractNumId w:val="45"/>
  </w:num>
  <w:num w:numId="44" w16cid:durableId="1668050188">
    <w:abstractNumId w:val="19"/>
  </w:num>
  <w:num w:numId="45" w16cid:durableId="340932075">
    <w:abstractNumId w:val="23"/>
  </w:num>
  <w:num w:numId="46" w16cid:durableId="82976058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24"/>
    <w:rsid w:val="00003788"/>
    <w:rsid w:val="000038DD"/>
    <w:rsid w:val="000069D0"/>
    <w:rsid w:val="00006D1D"/>
    <w:rsid w:val="00011970"/>
    <w:rsid w:val="00012491"/>
    <w:rsid w:val="000133A5"/>
    <w:rsid w:val="00016495"/>
    <w:rsid w:val="0001730A"/>
    <w:rsid w:val="00017F20"/>
    <w:rsid w:val="00021234"/>
    <w:rsid w:val="00022497"/>
    <w:rsid w:val="000269A2"/>
    <w:rsid w:val="00031027"/>
    <w:rsid w:val="00032E60"/>
    <w:rsid w:val="00033997"/>
    <w:rsid w:val="00033F9D"/>
    <w:rsid w:val="00035922"/>
    <w:rsid w:val="00037D45"/>
    <w:rsid w:val="00041E3D"/>
    <w:rsid w:val="00043973"/>
    <w:rsid w:val="0004553B"/>
    <w:rsid w:val="00050E7C"/>
    <w:rsid w:val="00051CC3"/>
    <w:rsid w:val="00057141"/>
    <w:rsid w:val="0006047C"/>
    <w:rsid w:val="000626A6"/>
    <w:rsid w:val="00062FE9"/>
    <w:rsid w:val="00066107"/>
    <w:rsid w:val="0006648C"/>
    <w:rsid w:val="00073508"/>
    <w:rsid w:val="00076F82"/>
    <w:rsid w:val="00077C36"/>
    <w:rsid w:val="00084150"/>
    <w:rsid w:val="0008479B"/>
    <w:rsid w:val="000860FF"/>
    <w:rsid w:val="00093C88"/>
    <w:rsid w:val="0009527F"/>
    <w:rsid w:val="000A4A8F"/>
    <w:rsid w:val="000B02C6"/>
    <w:rsid w:val="000B20F1"/>
    <w:rsid w:val="000B3534"/>
    <w:rsid w:val="000B3957"/>
    <w:rsid w:val="000B3E82"/>
    <w:rsid w:val="000B4C47"/>
    <w:rsid w:val="000B7803"/>
    <w:rsid w:val="000C306D"/>
    <w:rsid w:val="000C439A"/>
    <w:rsid w:val="000C6DDF"/>
    <w:rsid w:val="000D0719"/>
    <w:rsid w:val="000D135F"/>
    <w:rsid w:val="000D13F8"/>
    <w:rsid w:val="000D5531"/>
    <w:rsid w:val="000D573D"/>
    <w:rsid w:val="000D6B61"/>
    <w:rsid w:val="000E2C1A"/>
    <w:rsid w:val="000E2C87"/>
    <w:rsid w:val="000E3AF3"/>
    <w:rsid w:val="000E4237"/>
    <w:rsid w:val="000E738A"/>
    <w:rsid w:val="000E7C8B"/>
    <w:rsid w:val="000F0036"/>
    <w:rsid w:val="000F28A8"/>
    <w:rsid w:val="000F4BED"/>
    <w:rsid w:val="000F5549"/>
    <w:rsid w:val="00102E1C"/>
    <w:rsid w:val="00104E73"/>
    <w:rsid w:val="00110B5F"/>
    <w:rsid w:val="00114784"/>
    <w:rsid w:val="00116C85"/>
    <w:rsid w:val="0012030A"/>
    <w:rsid w:val="00131D4E"/>
    <w:rsid w:val="001332B7"/>
    <w:rsid w:val="001347BB"/>
    <w:rsid w:val="00140894"/>
    <w:rsid w:val="001433AC"/>
    <w:rsid w:val="0014382E"/>
    <w:rsid w:val="001450B7"/>
    <w:rsid w:val="001500E3"/>
    <w:rsid w:val="00154CEE"/>
    <w:rsid w:val="00156D70"/>
    <w:rsid w:val="001641C2"/>
    <w:rsid w:val="00164C7B"/>
    <w:rsid w:val="00167A77"/>
    <w:rsid w:val="00167A7A"/>
    <w:rsid w:val="00170566"/>
    <w:rsid w:val="001712CA"/>
    <w:rsid w:val="00172F5D"/>
    <w:rsid w:val="001801DC"/>
    <w:rsid w:val="001809D2"/>
    <w:rsid w:val="0018778C"/>
    <w:rsid w:val="001938D1"/>
    <w:rsid w:val="00194437"/>
    <w:rsid w:val="00194702"/>
    <w:rsid w:val="00194C71"/>
    <w:rsid w:val="001957D4"/>
    <w:rsid w:val="00195BA5"/>
    <w:rsid w:val="00196304"/>
    <w:rsid w:val="0019751F"/>
    <w:rsid w:val="001A02A8"/>
    <w:rsid w:val="001A19B2"/>
    <w:rsid w:val="001A4915"/>
    <w:rsid w:val="001A5188"/>
    <w:rsid w:val="001B293E"/>
    <w:rsid w:val="001B3C4F"/>
    <w:rsid w:val="001B3E07"/>
    <w:rsid w:val="001B4395"/>
    <w:rsid w:val="001B492F"/>
    <w:rsid w:val="001B4FFD"/>
    <w:rsid w:val="001B682E"/>
    <w:rsid w:val="001B710F"/>
    <w:rsid w:val="001C0EEC"/>
    <w:rsid w:val="001C5F88"/>
    <w:rsid w:val="001D1713"/>
    <w:rsid w:val="001D2B45"/>
    <w:rsid w:val="001D427D"/>
    <w:rsid w:val="001D4E56"/>
    <w:rsid w:val="001E23A9"/>
    <w:rsid w:val="001E6598"/>
    <w:rsid w:val="001E6D43"/>
    <w:rsid w:val="001F1BFC"/>
    <w:rsid w:val="001F6F0F"/>
    <w:rsid w:val="00201B96"/>
    <w:rsid w:val="00211416"/>
    <w:rsid w:val="00214B92"/>
    <w:rsid w:val="00216AB7"/>
    <w:rsid w:val="002211DE"/>
    <w:rsid w:val="002262DD"/>
    <w:rsid w:val="00230ADF"/>
    <w:rsid w:val="00231125"/>
    <w:rsid w:val="002346A0"/>
    <w:rsid w:val="00237037"/>
    <w:rsid w:val="002372F1"/>
    <w:rsid w:val="00240D78"/>
    <w:rsid w:val="00240EAB"/>
    <w:rsid w:val="00243FD0"/>
    <w:rsid w:val="0024748E"/>
    <w:rsid w:val="0025043C"/>
    <w:rsid w:val="00253015"/>
    <w:rsid w:val="0025637F"/>
    <w:rsid w:val="00257210"/>
    <w:rsid w:val="0027142D"/>
    <w:rsid w:val="002732E6"/>
    <w:rsid w:val="0027743E"/>
    <w:rsid w:val="002819AA"/>
    <w:rsid w:val="0028213F"/>
    <w:rsid w:val="00283EDC"/>
    <w:rsid w:val="0028564F"/>
    <w:rsid w:val="00291D8E"/>
    <w:rsid w:val="00292887"/>
    <w:rsid w:val="00292EE5"/>
    <w:rsid w:val="00294FD3"/>
    <w:rsid w:val="002963F1"/>
    <w:rsid w:val="0029793E"/>
    <w:rsid w:val="002A0E2F"/>
    <w:rsid w:val="002A1C81"/>
    <w:rsid w:val="002A1D71"/>
    <w:rsid w:val="002A5820"/>
    <w:rsid w:val="002A6194"/>
    <w:rsid w:val="002A746C"/>
    <w:rsid w:val="002B32DA"/>
    <w:rsid w:val="002C4C02"/>
    <w:rsid w:val="002C668C"/>
    <w:rsid w:val="002C70BF"/>
    <w:rsid w:val="002C7445"/>
    <w:rsid w:val="002C7CEA"/>
    <w:rsid w:val="002D039D"/>
    <w:rsid w:val="002D4626"/>
    <w:rsid w:val="002D5CCD"/>
    <w:rsid w:val="002D74D8"/>
    <w:rsid w:val="002E2792"/>
    <w:rsid w:val="002E503F"/>
    <w:rsid w:val="002F1FE6"/>
    <w:rsid w:val="002F2D81"/>
    <w:rsid w:val="00300BB1"/>
    <w:rsid w:val="0030510A"/>
    <w:rsid w:val="00311E98"/>
    <w:rsid w:val="00313A1D"/>
    <w:rsid w:val="0031705D"/>
    <w:rsid w:val="00317DBF"/>
    <w:rsid w:val="00317E80"/>
    <w:rsid w:val="00321472"/>
    <w:rsid w:val="00324A0C"/>
    <w:rsid w:val="003254FE"/>
    <w:rsid w:val="0032562C"/>
    <w:rsid w:val="00330794"/>
    <w:rsid w:val="00331ABE"/>
    <w:rsid w:val="00331FBE"/>
    <w:rsid w:val="00332FF4"/>
    <w:rsid w:val="00334313"/>
    <w:rsid w:val="0033589E"/>
    <w:rsid w:val="003367D1"/>
    <w:rsid w:val="00347F61"/>
    <w:rsid w:val="003516DF"/>
    <w:rsid w:val="003519B2"/>
    <w:rsid w:val="003541B9"/>
    <w:rsid w:val="00355808"/>
    <w:rsid w:val="0036013B"/>
    <w:rsid w:val="003637BF"/>
    <w:rsid w:val="003657B7"/>
    <w:rsid w:val="00365AA8"/>
    <w:rsid w:val="00373178"/>
    <w:rsid w:val="00375FA4"/>
    <w:rsid w:val="00376418"/>
    <w:rsid w:val="00377962"/>
    <w:rsid w:val="003804C5"/>
    <w:rsid w:val="00380E0F"/>
    <w:rsid w:val="00382F27"/>
    <w:rsid w:val="00384194"/>
    <w:rsid w:val="00390262"/>
    <w:rsid w:val="003914E2"/>
    <w:rsid w:val="00393C80"/>
    <w:rsid w:val="00394082"/>
    <w:rsid w:val="00395D81"/>
    <w:rsid w:val="003A0D1A"/>
    <w:rsid w:val="003B45B0"/>
    <w:rsid w:val="003B5515"/>
    <w:rsid w:val="003C12E0"/>
    <w:rsid w:val="003C3289"/>
    <w:rsid w:val="003C4800"/>
    <w:rsid w:val="003C4D06"/>
    <w:rsid w:val="003C57BB"/>
    <w:rsid w:val="003C62CD"/>
    <w:rsid w:val="003D46B8"/>
    <w:rsid w:val="003D5DF4"/>
    <w:rsid w:val="003D668A"/>
    <w:rsid w:val="003E1354"/>
    <w:rsid w:val="003E1502"/>
    <w:rsid w:val="003E1E5C"/>
    <w:rsid w:val="003E5FD9"/>
    <w:rsid w:val="003E6BB9"/>
    <w:rsid w:val="003F2D79"/>
    <w:rsid w:val="003F5354"/>
    <w:rsid w:val="003F604F"/>
    <w:rsid w:val="00403C1D"/>
    <w:rsid w:val="0040573D"/>
    <w:rsid w:val="00410652"/>
    <w:rsid w:val="004127DD"/>
    <w:rsid w:val="00420CE9"/>
    <w:rsid w:val="00430178"/>
    <w:rsid w:val="0043067E"/>
    <w:rsid w:val="00430CA7"/>
    <w:rsid w:val="00430F52"/>
    <w:rsid w:val="00431BEA"/>
    <w:rsid w:val="004331A2"/>
    <w:rsid w:val="00440BE0"/>
    <w:rsid w:val="0044129F"/>
    <w:rsid w:val="00445B35"/>
    <w:rsid w:val="00454220"/>
    <w:rsid w:val="004555EF"/>
    <w:rsid w:val="00456FAD"/>
    <w:rsid w:val="004628E8"/>
    <w:rsid w:val="00466A1C"/>
    <w:rsid w:val="00471E95"/>
    <w:rsid w:val="004756A5"/>
    <w:rsid w:val="00482C36"/>
    <w:rsid w:val="0048364F"/>
    <w:rsid w:val="004838F8"/>
    <w:rsid w:val="00483CD8"/>
    <w:rsid w:val="004860A2"/>
    <w:rsid w:val="004918C3"/>
    <w:rsid w:val="004975C8"/>
    <w:rsid w:val="004A0388"/>
    <w:rsid w:val="004A1861"/>
    <w:rsid w:val="004A2C87"/>
    <w:rsid w:val="004A73B6"/>
    <w:rsid w:val="004A7E18"/>
    <w:rsid w:val="004B0674"/>
    <w:rsid w:val="004B0D90"/>
    <w:rsid w:val="004B12DE"/>
    <w:rsid w:val="004B405F"/>
    <w:rsid w:val="004B4723"/>
    <w:rsid w:val="004C2990"/>
    <w:rsid w:val="004C4B9F"/>
    <w:rsid w:val="004D1FA3"/>
    <w:rsid w:val="004D4C84"/>
    <w:rsid w:val="004D511D"/>
    <w:rsid w:val="004D57DB"/>
    <w:rsid w:val="004E0A07"/>
    <w:rsid w:val="004E3BC6"/>
    <w:rsid w:val="004E6E8E"/>
    <w:rsid w:val="004F09C9"/>
    <w:rsid w:val="004F11D3"/>
    <w:rsid w:val="004F244C"/>
    <w:rsid w:val="004F4CF4"/>
    <w:rsid w:val="004F62FC"/>
    <w:rsid w:val="00503A9E"/>
    <w:rsid w:val="00503AF8"/>
    <w:rsid w:val="005051B7"/>
    <w:rsid w:val="0051092B"/>
    <w:rsid w:val="00513092"/>
    <w:rsid w:val="0051587D"/>
    <w:rsid w:val="00515C06"/>
    <w:rsid w:val="0051605E"/>
    <w:rsid w:val="005169A1"/>
    <w:rsid w:val="00516D8D"/>
    <w:rsid w:val="00517428"/>
    <w:rsid w:val="00517DAD"/>
    <w:rsid w:val="0052033E"/>
    <w:rsid w:val="005268F5"/>
    <w:rsid w:val="00526AE6"/>
    <w:rsid w:val="005308E6"/>
    <w:rsid w:val="00531EA3"/>
    <w:rsid w:val="00532710"/>
    <w:rsid w:val="0053295D"/>
    <w:rsid w:val="00535BD2"/>
    <w:rsid w:val="0053723F"/>
    <w:rsid w:val="00541E3D"/>
    <w:rsid w:val="00542D51"/>
    <w:rsid w:val="0054391C"/>
    <w:rsid w:val="00543E96"/>
    <w:rsid w:val="005444A2"/>
    <w:rsid w:val="005465C3"/>
    <w:rsid w:val="00546876"/>
    <w:rsid w:val="005536B1"/>
    <w:rsid w:val="005547BF"/>
    <w:rsid w:val="005549F6"/>
    <w:rsid w:val="00560EBB"/>
    <w:rsid w:val="00562694"/>
    <w:rsid w:val="00564069"/>
    <w:rsid w:val="005705E7"/>
    <w:rsid w:val="00570DB1"/>
    <w:rsid w:val="00570E9F"/>
    <w:rsid w:val="00571CEA"/>
    <w:rsid w:val="00572EC4"/>
    <w:rsid w:val="005755E3"/>
    <w:rsid w:val="005816FB"/>
    <w:rsid w:val="00584AEE"/>
    <w:rsid w:val="00586B2B"/>
    <w:rsid w:val="005875DF"/>
    <w:rsid w:val="005935F3"/>
    <w:rsid w:val="00593E4B"/>
    <w:rsid w:val="00594347"/>
    <w:rsid w:val="0059627F"/>
    <w:rsid w:val="005A2D63"/>
    <w:rsid w:val="005A3011"/>
    <w:rsid w:val="005A419C"/>
    <w:rsid w:val="005B220B"/>
    <w:rsid w:val="005B29BC"/>
    <w:rsid w:val="005B69A6"/>
    <w:rsid w:val="005C1A21"/>
    <w:rsid w:val="005C1F1C"/>
    <w:rsid w:val="005C51B2"/>
    <w:rsid w:val="005D22B2"/>
    <w:rsid w:val="005D2D14"/>
    <w:rsid w:val="005D2F69"/>
    <w:rsid w:val="005E2C50"/>
    <w:rsid w:val="005E45B5"/>
    <w:rsid w:val="005E5DB1"/>
    <w:rsid w:val="005F05E8"/>
    <w:rsid w:val="005F3E33"/>
    <w:rsid w:val="0060101E"/>
    <w:rsid w:val="00602939"/>
    <w:rsid w:val="00607B99"/>
    <w:rsid w:val="00610E9E"/>
    <w:rsid w:val="006166C7"/>
    <w:rsid w:val="00617AB7"/>
    <w:rsid w:val="00620A4F"/>
    <w:rsid w:val="00620F72"/>
    <w:rsid w:val="00621D7A"/>
    <w:rsid w:val="0062260A"/>
    <w:rsid w:val="00623408"/>
    <w:rsid w:val="006241F3"/>
    <w:rsid w:val="006245DA"/>
    <w:rsid w:val="0062642B"/>
    <w:rsid w:val="0063183B"/>
    <w:rsid w:val="0063231F"/>
    <w:rsid w:val="00634446"/>
    <w:rsid w:val="00634CBD"/>
    <w:rsid w:val="0063501D"/>
    <w:rsid w:val="00635CF4"/>
    <w:rsid w:val="00635FA4"/>
    <w:rsid w:val="00640B39"/>
    <w:rsid w:val="00644D5B"/>
    <w:rsid w:val="00650E61"/>
    <w:rsid w:val="0065256A"/>
    <w:rsid w:val="006526E4"/>
    <w:rsid w:val="00666D65"/>
    <w:rsid w:val="0066715B"/>
    <w:rsid w:val="00672EC8"/>
    <w:rsid w:val="00673C78"/>
    <w:rsid w:val="006778A0"/>
    <w:rsid w:val="00682D5D"/>
    <w:rsid w:val="00686575"/>
    <w:rsid w:val="00690307"/>
    <w:rsid w:val="006907C4"/>
    <w:rsid w:val="00693A5D"/>
    <w:rsid w:val="00694137"/>
    <w:rsid w:val="006A0C48"/>
    <w:rsid w:val="006A1563"/>
    <w:rsid w:val="006A1B0D"/>
    <w:rsid w:val="006A34B2"/>
    <w:rsid w:val="006A3D5C"/>
    <w:rsid w:val="006A3F90"/>
    <w:rsid w:val="006A5FF2"/>
    <w:rsid w:val="006B0F0D"/>
    <w:rsid w:val="006B1CF9"/>
    <w:rsid w:val="006B47EE"/>
    <w:rsid w:val="006B6EEA"/>
    <w:rsid w:val="006B7475"/>
    <w:rsid w:val="006C41B9"/>
    <w:rsid w:val="006C5096"/>
    <w:rsid w:val="006C6BAA"/>
    <w:rsid w:val="006D3921"/>
    <w:rsid w:val="006D408B"/>
    <w:rsid w:val="006E0E0C"/>
    <w:rsid w:val="006E2F87"/>
    <w:rsid w:val="006E6474"/>
    <w:rsid w:val="006E760F"/>
    <w:rsid w:val="006E7B7B"/>
    <w:rsid w:val="006F28BC"/>
    <w:rsid w:val="006F300C"/>
    <w:rsid w:val="006F52F5"/>
    <w:rsid w:val="006F79DD"/>
    <w:rsid w:val="007002F8"/>
    <w:rsid w:val="007007CC"/>
    <w:rsid w:val="00701226"/>
    <w:rsid w:val="0070713C"/>
    <w:rsid w:val="007103F0"/>
    <w:rsid w:val="00713580"/>
    <w:rsid w:val="007138A4"/>
    <w:rsid w:val="007141FD"/>
    <w:rsid w:val="00715D6B"/>
    <w:rsid w:val="007166DE"/>
    <w:rsid w:val="007204C1"/>
    <w:rsid w:val="00724062"/>
    <w:rsid w:val="00726471"/>
    <w:rsid w:val="007317E0"/>
    <w:rsid w:val="00734046"/>
    <w:rsid w:val="0073487E"/>
    <w:rsid w:val="00740478"/>
    <w:rsid w:val="00740BC5"/>
    <w:rsid w:val="00742DDD"/>
    <w:rsid w:val="007430E0"/>
    <w:rsid w:val="00747A38"/>
    <w:rsid w:val="0075360F"/>
    <w:rsid w:val="007606F5"/>
    <w:rsid w:val="0076174E"/>
    <w:rsid w:val="007708C6"/>
    <w:rsid w:val="00771D41"/>
    <w:rsid w:val="007721C4"/>
    <w:rsid w:val="0077379F"/>
    <w:rsid w:val="00773918"/>
    <w:rsid w:val="00775AF2"/>
    <w:rsid w:val="00781023"/>
    <w:rsid w:val="007810E0"/>
    <w:rsid w:val="007850CB"/>
    <w:rsid w:val="007A7F1F"/>
    <w:rsid w:val="007B0257"/>
    <w:rsid w:val="007B0B09"/>
    <w:rsid w:val="007B0D07"/>
    <w:rsid w:val="007B0E2D"/>
    <w:rsid w:val="007B1A80"/>
    <w:rsid w:val="007B29FD"/>
    <w:rsid w:val="007C00C2"/>
    <w:rsid w:val="007C4028"/>
    <w:rsid w:val="007C6D48"/>
    <w:rsid w:val="007D1AEF"/>
    <w:rsid w:val="007D5FCD"/>
    <w:rsid w:val="007D776B"/>
    <w:rsid w:val="007F45BF"/>
    <w:rsid w:val="0080242C"/>
    <w:rsid w:val="00805018"/>
    <w:rsid w:val="00807BBC"/>
    <w:rsid w:val="008114A2"/>
    <w:rsid w:val="00811640"/>
    <w:rsid w:val="00811B04"/>
    <w:rsid w:val="00813ADC"/>
    <w:rsid w:val="00814362"/>
    <w:rsid w:val="008145F2"/>
    <w:rsid w:val="008216FA"/>
    <w:rsid w:val="00823499"/>
    <w:rsid w:val="00827BEE"/>
    <w:rsid w:val="008316D6"/>
    <w:rsid w:val="00831C58"/>
    <w:rsid w:val="00831E6C"/>
    <w:rsid w:val="0083260A"/>
    <w:rsid w:val="0083342E"/>
    <w:rsid w:val="008368CB"/>
    <w:rsid w:val="00841AC0"/>
    <w:rsid w:val="00841C43"/>
    <w:rsid w:val="00844552"/>
    <w:rsid w:val="0085243E"/>
    <w:rsid w:val="00852FB6"/>
    <w:rsid w:val="00852FD1"/>
    <w:rsid w:val="008554FB"/>
    <w:rsid w:val="008575DC"/>
    <w:rsid w:val="00857AC9"/>
    <w:rsid w:val="00865714"/>
    <w:rsid w:val="00866978"/>
    <w:rsid w:val="00866FD9"/>
    <w:rsid w:val="0087434A"/>
    <w:rsid w:val="0088006E"/>
    <w:rsid w:val="008839BB"/>
    <w:rsid w:val="00883E9F"/>
    <w:rsid w:val="00884DD1"/>
    <w:rsid w:val="00886963"/>
    <w:rsid w:val="008875BA"/>
    <w:rsid w:val="00896D6E"/>
    <w:rsid w:val="0089710F"/>
    <w:rsid w:val="008A3266"/>
    <w:rsid w:val="008A7F84"/>
    <w:rsid w:val="008B1838"/>
    <w:rsid w:val="008B201B"/>
    <w:rsid w:val="008B7347"/>
    <w:rsid w:val="008B7DE7"/>
    <w:rsid w:val="008C0398"/>
    <w:rsid w:val="008C1BEA"/>
    <w:rsid w:val="008C4C09"/>
    <w:rsid w:val="008C4EF3"/>
    <w:rsid w:val="008C5A22"/>
    <w:rsid w:val="008C6FD3"/>
    <w:rsid w:val="008C7A92"/>
    <w:rsid w:val="008D30E6"/>
    <w:rsid w:val="008D3A53"/>
    <w:rsid w:val="008D3B25"/>
    <w:rsid w:val="008D40CC"/>
    <w:rsid w:val="008D7BDB"/>
    <w:rsid w:val="008E49CB"/>
    <w:rsid w:val="008E5D6E"/>
    <w:rsid w:val="008E6624"/>
    <w:rsid w:val="008F2F2E"/>
    <w:rsid w:val="008F4C76"/>
    <w:rsid w:val="008F50B6"/>
    <w:rsid w:val="008F5C80"/>
    <w:rsid w:val="008F65AF"/>
    <w:rsid w:val="00901E5C"/>
    <w:rsid w:val="00903942"/>
    <w:rsid w:val="00904443"/>
    <w:rsid w:val="00905A67"/>
    <w:rsid w:val="00917582"/>
    <w:rsid w:val="0091798A"/>
    <w:rsid w:val="00920906"/>
    <w:rsid w:val="00920BC8"/>
    <w:rsid w:val="00923D4F"/>
    <w:rsid w:val="009263C8"/>
    <w:rsid w:val="00933EFE"/>
    <w:rsid w:val="0093759B"/>
    <w:rsid w:val="00941801"/>
    <w:rsid w:val="00941B6B"/>
    <w:rsid w:val="009429E7"/>
    <w:rsid w:val="009477D9"/>
    <w:rsid w:val="00950E20"/>
    <w:rsid w:val="00951E3D"/>
    <w:rsid w:val="0095432F"/>
    <w:rsid w:val="009568AB"/>
    <w:rsid w:val="00962238"/>
    <w:rsid w:val="00962DFC"/>
    <w:rsid w:val="00964805"/>
    <w:rsid w:val="009668D7"/>
    <w:rsid w:val="00970316"/>
    <w:rsid w:val="00970D12"/>
    <w:rsid w:val="00971027"/>
    <w:rsid w:val="0097125F"/>
    <w:rsid w:val="00977A96"/>
    <w:rsid w:val="00980CC8"/>
    <w:rsid w:val="00982B3A"/>
    <w:rsid w:val="00986333"/>
    <w:rsid w:val="0098705C"/>
    <w:rsid w:val="00987883"/>
    <w:rsid w:val="009911B7"/>
    <w:rsid w:val="00992297"/>
    <w:rsid w:val="00994CD0"/>
    <w:rsid w:val="00995D4E"/>
    <w:rsid w:val="00995DB3"/>
    <w:rsid w:val="009A0FAD"/>
    <w:rsid w:val="009A46AB"/>
    <w:rsid w:val="009A569F"/>
    <w:rsid w:val="009A6158"/>
    <w:rsid w:val="009A75E4"/>
    <w:rsid w:val="009C4773"/>
    <w:rsid w:val="009C5916"/>
    <w:rsid w:val="009C7D0F"/>
    <w:rsid w:val="009D27AC"/>
    <w:rsid w:val="009E12C0"/>
    <w:rsid w:val="009E1F4B"/>
    <w:rsid w:val="009E50C6"/>
    <w:rsid w:val="009E63D4"/>
    <w:rsid w:val="009F33F6"/>
    <w:rsid w:val="009F4D40"/>
    <w:rsid w:val="009F5A14"/>
    <w:rsid w:val="009F7BA5"/>
    <w:rsid w:val="00A00A18"/>
    <w:rsid w:val="00A01321"/>
    <w:rsid w:val="00A02166"/>
    <w:rsid w:val="00A026E4"/>
    <w:rsid w:val="00A04D48"/>
    <w:rsid w:val="00A0577E"/>
    <w:rsid w:val="00A06EEC"/>
    <w:rsid w:val="00A072DD"/>
    <w:rsid w:val="00A16D1C"/>
    <w:rsid w:val="00A303C4"/>
    <w:rsid w:val="00A318D8"/>
    <w:rsid w:val="00A33350"/>
    <w:rsid w:val="00A35CE6"/>
    <w:rsid w:val="00A43B2B"/>
    <w:rsid w:val="00A442B6"/>
    <w:rsid w:val="00A4525C"/>
    <w:rsid w:val="00A52734"/>
    <w:rsid w:val="00A553B6"/>
    <w:rsid w:val="00A60907"/>
    <w:rsid w:val="00A60B6E"/>
    <w:rsid w:val="00A626FC"/>
    <w:rsid w:val="00A63856"/>
    <w:rsid w:val="00A64354"/>
    <w:rsid w:val="00A64CC3"/>
    <w:rsid w:val="00A710B2"/>
    <w:rsid w:val="00A71884"/>
    <w:rsid w:val="00A72999"/>
    <w:rsid w:val="00A73FD8"/>
    <w:rsid w:val="00A7444E"/>
    <w:rsid w:val="00A76F1D"/>
    <w:rsid w:val="00A76F5B"/>
    <w:rsid w:val="00A8129E"/>
    <w:rsid w:val="00A84561"/>
    <w:rsid w:val="00A84BF3"/>
    <w:rsid w:val="00A87B29"/>
    <w:rsid w:val="00AA2818"/>
    <w:rsid w:val="00AA4359"/>
    <w:rsid w:val="00AA4F68"/>
    <w:rsid w:val="00AA543B"/>
    <w:rsid w:val="00AA5ACA"/>
    <w:rsid w:val="00AA6604"/>
    <w:rsid w:val="00AA7065"/>
    <w:rsid w:val="00AB2B64"/>
    <w:rsid w:val="00AC25D9"/>
    <w:rsid w:val="00AC4C6A"/>
    <w:rsid w:val="00AD02E2"/>
    <w:rsid w:val="00AD0A42"/>
    <w:rsid w:val="00AD0AB7"/>
    <w:rsid w:val="00AD0F5C"/>
    <w:rsid w:val="00AD2BDD"/>
    <w:rsid w:val="00AD369B"/>
    <w:rsid w:val="00AD48AD"/>
    <w:rsid w:val="00AD5029"/>
    <w:rsid w:val="00AD7B0D"/>
    <w:rsid w:val="00AD7E86"/>
    <w:rsid w:val="00AE20DF"/>
    <w:rsid w:val="00AE29A7"/>
    <w:rsid w:val="00AF246E"/>
    <w:rsid w:val="00AF479D"/>
    <w:rsid w:val="00AF635B"/>
    <w:rsid w:val="00AF75C8"/>
    <w:rsid w:val="00B00EE9"/>
    <w:rsid w:val="00B030E6"/>
    <w:rsid w:val="00B0483F"/>
    <w:rsid w:val="00B059FD"/>
    <w:rsid w:val="00B07332"/>
    <w:rsid w:val="00B20E51"/>
    <w:rsid w:val="00B23528"/>
    <w:rsid w:val="00B27C68"/>
    <w:rsid w:val="00B313D5"/>
    <w:rsid w:val="00B31DEE"/>
    <w:rsid w:val="00B3372F"/>
    <w:rsid w:val="00B34DD8"/>
    <w:rsid w:val="00B37214"/>
    <w:rsid w:val="00B415AC"/>
    <w:rsid w:val="00B41F47"/>
    <w:rsid w:val="00B43721"/>
    <w:rsid w:val="00B444EA"/>
    <w:rsid w:val="00B47060"/>
    <w:rsid w:val="00B47693"/>
    <w:rsid w:val="00B50CD0"/>
    <w:rsid w:val="00B61F5C"/>
    <w:rsid w:val="00B63ADF"/>
    <w:rsid w:val="00B7298C"/>
    <w:rsid w:val="00B73A04"/>
    <w:rsid w:val="00B75C45"/>
    <w:rsid w:val="00B806B1"/>
    <w:rsid w:val="00B8095D"/>
    <w:rsid w:val="00B809BA"/>
    <w:rsid w:val="00B831B3"/>
    <w:rsid w:val="00B85F32"/>
    <w:rsid w:val="00B8604A"/>
    <w:rsid w:val="00B92CC7"/>
    <w:rsid w:val="00B92CE9"/>
    <w:rsid w:val="00B94097"/>
    <w:rsid w:val="00B94272"/>
    <w:rsid w:val="00BA1F2C"/>
    <w:rsid w:val="00BA2BB2"/>
    <w:rsid w:val="00BA32AD"/>
    <w:rsid w:val="00BA4771"/>
    <w:rsid w:val="00BA4E68"/>
    <w:rsid w:val="00BA5289"/>
    <w:rsid w:val="00BA6421"/>
    <w:rsid w:val="00BA67C7"/>
    <w:rsid w:val="00BB017B"/>
    <w:rsid w:val="00BB6F3D"/>
    <w:rsid w:val="00BC126B"/>
    <w:rsid w:val="00BC1E6F"/>
    <w:rsid w:val="00BC49BB"/>
    <w:rsid w:val="00BC7189"/>
    <w:rsid w:val="00BD0F3E"/>
    <w:rsid w:val="00BD4E67"/>
    <w:rsid w:val="00BD750D"/>
    <w:rsid w:val="00BE12D1"/>
    <w:rsid w:val="00BE148F"/>
    <w:rsid w:val="00BE5AA8"/>
    <w:rsid w:val="00BE74C5"/>
    <w:rsid w:val="00BF358E"/>
    <w:rsid w:val="00BF370B"/>
    <w:rsid w:val="00BF5F1D"/>
    <w:rsid w:val="00C00F31"/>
    <w:rsid w:val="00C01C0A"/>
    <w:rsid w:val="00C029DF"/>
    <w:rsid w:val="00C037A6"/>
    <w:rsid w:val="00C03F8A"/>
    <w:rsid w:val="00C162D8"/>
    <w:rsid w:val="00C200D7"/>
    <w:rsid w:val="00C217A0"/>
    <w:rsid w:val="00C223C3"/>
    <w:rsid w:val="00C24A2E"/>
    <w:rsid w:val="00C25CFC"/>
    <w:rsid w:val="00C30600"/>
    <w:rsid w:val="00C32F13"/>
    <w:rsid w:val="00C36956"/>
    <w:rsid w:val="00C40577"/>
    <w:rsid w:val="00C405CB"/>
    <w:rsid w:val="00C410F4"/>
    <w:rsid w:val="00C41BDD"/>
    <w:rsid w:val="00C43658"/>
    <w:rsid w:val="00C46047"/>
    <w:rsid w:val="00C52B1A"/>
    <w:rsid w:val="00C540E0"/>
    <w:rsid w:val="00C601E8"/>
    <w:rsid w:val="00C63492"/>
    <w:rsid w:val="00C639B5"/>
    <w:rsid w:val="00C673BD"/>
    <w:rsid w:val="00C7337F"/>
    <w:rsid w:val="00C7545C"/>
    <w:rsid w:val="00C75C1A"/>
    <w:rsid w:val="00C86517"/>
    <w:rsid w:val="00C86742"/>
    <w:rsid w:val="00C86E98"/>
    <w:rsid w:val="00C90543"/>
    <w:rsid w:val="00C935B4"/>
    <w:rsid w:val="00C9386D"/>
    <w:rsid w:val="00C94789"/>
    <w:rsid w:val="00C9729E"/>
    <w:rsid w:val="00C97612"/>
    <w:rsid w:val="00CA455C"/>
    <w:rsid w:val="00CB0024"/>
    <w:rsid w:val="00CB05E8"/>
    <w:rsid w:val="00CB3F3F"/>
    <w:rsid w:val="00CC33AB"/>
    <w:rsid w:val="00CC51D6"/>
    <w:rsid w:val="00CC537A"/>
    <w:rsid w:val="00CC6F6E"/>
    <w:rsid w:val="00CD12D8"/>
    <w:rsid w:val="00CD3AD6"/>
    <w:rsid w:val="00CE1F09"/>
    <w:rsid w:val="00CF2087"/>
    <w:rsid w:val="00CF2835"/>
    <w:rsid w:val="00CF2D53"/>
    <w:rsid w:val="00CF3432"/>
    <w:rsid w:val="00CF3CDC"/>
    <w:rsid w:val="00CF55D5"/>
    <w:rsid w:val="00CF5EB2"/>
    <w:rsid w:val="00CF736F"/>
    <w:rsid w:val="00D00583"/>
    <w:rsid w:val="00D12835"/>
    <w:rsid w:val="00D14104"/>
    <w:rsid w:val="00D15896"/>
    <w:rsid w:val="00D202FA"/>
    <w:rsid w:val="00D208AF"/>
    <w:rsid w:val="00D216E9"/>
    <w:rsid w:val="00D24914"/>
    <w:rsid w:val="00D326D7"/>
    <w:rsid w:val="00D33111"/>
    <w:rsid w:val="00D4023B"/>
    <w:rsid w:val="00D40B52"/>
    <w:rsid w:val="00D50E87"/>
    <w:rsid w:val="00D51572"/>
    <w:rsid w:val="00D53655"/>
    <w:rsid w:val="00D54453"/>
    <w:rsid w:val="00D54B65"/>
    <w:rsid w:val="00D556BF"/>
    <w:rsid w:val="00D60710"/>
    <w:rsid w:val="00D61798"/>
    <w:rsid w:val="00D62CB1"/>
    <w:rsid w:val="00D67634"/>
    <w:rsid w:val="00D71F81"/>
    <w:rsid w:val="00D726F9"/>
    <w:rsid w:val="00D756A9"/>
    <w:rsid w:val="00D765DA"/>
    <w:rsid w:val="00D84579"/>
    <w:rsid w:val="00D850D5"/>
    <w:rsid w:val="00D859D5"/>
    <w:rsid w:val="00D85C5E"/>
    <w:rsid w:val="00D91E89"/>
    <w:rsid w:val="00D94761"/>
    <w:rsid w:val="00D94D4A"/>
    <w:rsid w:val="00DA17FB"/>
    <w:rsid w:val="00DA2027"/>
    <w:rsid w:val="00DA469D"/>
    <w:rsid w:val="00DB1A8E"/>
    <w:rsid w:val="00DB2818"/>
    <w:rsid w:val="00DB652D"/>
    <w:rsid w:val="00DB74DD"/>
    <w:rsid w:val="00DC2A33"/>
    <w:rsid w:val="00DC5C27"/>
    <w:rsid w:val="00DC74C5"/>
    <w:rsid w:val="00DD0C90"/>
    <w:rsid w:val="00DD24BF"/>
    <w:rsid w:val="00DD491C"/>
    <w:rsid w:val="00DE03E4"/>
    <w:rsid w:val="00DE20EE"/>
    <w:rsid w:val="00DE2591"/>
    <w:rsid w:val="00DE4754"/>
    <w:rsid w:val="00DE5345"/>
    <w:rsid w:val="00DE5AD0"/>
    <w:rsid w:val="00DE6887"/>
    <w:rsid w:val="00DE6920"/>
    <w:rsid w:val="00DF05E9"/>
    <w:rsid w:val="00DF0F4C"/>
    <w:rsid w:val="00E014C1"/>
    <w:rsid w:val="00E01E6C"/>
    <w:rsid w:val="00E03097"/>
    <w:rsid w:val="00E03B22"/>
    <w:rsid w:val="00E0585D"/>
    <w:rsid w:val="00E06AC8"/>
    <w:rsid w:val="00E0700B"/>
    <w:rsid w:val="00E10BC9"/>
    <w:rsid w:val="00E14E4A"/>
    <w:rsid w:val="00E166E9"/>
    <w:rsid w:val="00E2162E"/>
    <w:rsid w:val="00E23B96"/>
    <w:rsid w:val="00E27BC2"/>
    <w:rsid w:val="00E330F9"/>
    <w:rsid w:val="00E3579F"/>
    <w:rsid w:val="00E37814"/>
    <w:rsid w:val="00E415C5"/>
    <w:rsid w:val="00E42543"/>
    <w:rsid w:val="00E4260F"/>
    <w:rsid w:val="00E46E79"/>
    <w:rsid w:val="00E51572"/>
    <w:rsid w:val="00E520D0"/>
    <w:rsid w:val="00E53B98"/>
    <w:rsid w:val="00E71AA3"/>
    <w:rsid w:val="00E74B97"/>
    <w:rsid w:val="00E74D97"/>
    <w:rsid w:val="00E768A0"/>
    <w:rsid w:val="00E770D4"/>
    <w:rsid w:val="00E8039B"/>
    <w:rsid w:val="00E8091B"/>
    <w:rsid w:val="00E84187"/>
    <w:rsid w:val="00E84361"/>
    <w:rsid w:val="00E84A0C"/>
    <w:rsid w:val="00E90438"/>
    <w:rsid w:val="00E904B2"/>
    <w:rsid w:val="00E91058"/>
    <w:rsid w:val="00E95B02"/>
    <w:rsid w:val="00EA236B"/>
    <w:rsid w:val="00EA3753"/>
    <w:rsid w:val="00EA75F6"/>
    <w:rsid w:val="00EA7776"/>
    <w:rsid w:val="00EA7FBC"/>
    <w:rsid w:val="00EB3041"/>
    <w:rsid w:val="00EB330F"/>
    <w:rsid w:val="00EB7229"/>
    <w:rsid w:val="00EC15D3"/>
    <w:rsid w:val="00EC3366"/>
    <w:rsid w:val="00EC4B8E"/>
    <w:rsid w:val="00EC60F9"/>
    <w:rsid w:val="00EC7693"/>
    <w:rsid w:val="00ED01D0"/>
    <w:rsid w:val="00ED2E6F"/>
    <w:rsid w:val="00ED4220"/>
    <w:rsid w:val="00ED4287"/>
    <w:rsid w:val="00ED7DB3"/>
    <w:rsid w:val="00EE0429"/>
    <w:rsid w:val="00EE0568"/>
    <w:rsid w:val="00EE4142"/>
    <w:rsid w:val="00EE528D"/>
    <w:rsid w:val="00EE6C33"/>
    <w:rsid w:val="00EE6DB8"/>
    <w:rsid w:val="00EF0E85"/>
    <w:rsid w:val="00EF2B6D"/>
    <w:rsid w:val="00EF302F"/>
    <w:rsid w:val="00F001B7"/>
    <w:rsid w:val="00F00938"/>
    <w:rsid w:val="00F02015"/>
    <w:rsid w:val="00F06B67"/>
    <w:rsid w:val="00F10AFC"/>
    <w:rsid w:val="00F232AB"/>
    <w:rsid w:val="00F27D53"/>
    <w:rsid w:val="00F31282"/>
    <w:rsid w:val="00F322A5"/>
    <w:rsid w:val="00F32502"/>
    <w:rsid w:val="00F34E9E"/>
    <w:rsid w:val="00F34EBF"/>
    <w:rsid w:val="00F36F17"/>
    <w:rsid w:val="00F448C4"/>
    <w:rsid w:val="00F459C2"/>
    <w:rsid w:val="00F53292"/>
    <w:rsid w:val="00F5440A"/>
    <w:rsid w:val="00F54627"/>
    <w:rsid w:val="00F5784F"/>
    <w:rsid w:val="00F6326B"/>
    <w:rsid w:val="00F66363"/>
    <w:rsid w:val="00F66FE5"/>
    <w:rsid w:val="00F70568"/>
    <w:rsid w:val="00F73ABB"/>
    <w:rsid w:val="00F74311"/>
    <w:rsid w:val="00F74BDA"/>
    <w:rsid w:val="00F76B2A"/>
    <w:rsid w:val="00F77362"/>
    <w:rsid w:val="00F80228"/>
    <w:rsid w:val="00F803F6"/>
    <w:rsid w:val="00F805FB"/>
    <w:rsid w:val="00F856E5"/>
    <w:rsid w:val="00F96BFC"/>
    <w:rsid w:val="00FA3C18"/>
    <w:rsid w:val="00FA72F5"/>
    <w:rsid w:val="00FB45B2"/>
    <w:rsid w:val="00FB6C12"/>
    <w:rsid w:val="00FC044C"/>
    <w:rsid w:val="00FC0AB0"/>
    <w:rsid w:val="00FC1005"/>
    <w:rsid w:val="00FC4A76"/>
    <w:rsid w:val="00FD3E77"/>
    <w:rsid w:val="00FD71AB"/>
    <w:rsid w:val="00FD7850"/>
    <w:rsid w:val="00FE080D"/>
    <w:rsid w:val="00FE20AC"/>
    <w:rsid w:val="00FF08F3"/>
    <w:rsid w:val="00FF0A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79077C"/>
  <w15:docId w15:val="{5E5C3B00-E49A-4934-B666-86A01A3E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F302F"/>
    <w:pPr>
      <w:widowControl w:val="0"/>
      <w:jc w:val="both"/>
    </w:pPr>
    <w:rPr>
      <w:rFonts w:ascii="宋体" w:hAnsi="宋体"/>
      <w:kern w:val="2"/>
      <w:sz w:val="24"/>
      <w:szCs w:val="22"/>
    </w:rPr>
  </w:style>
  <w:style w:type="paragraph" w:styleId="1">
    <w:name w:val="heading 1"/>
    <w:basedOn w:val="a0"/>
    <w:next w:val="a0"/>
    <w:link w:val="10"/>
    <w:uiPriority w:val="9"/>
    <w:qFormat/>
    <w:rsid w:val="006B0F0D"/>
    <w:pPr>
      <w:keepNext/>
      <w:keepLines/>
      <w:spacing w:before="340" w:after="330" w:line="578" w:lineRule="auto"/>
      <w:outlineLvl w:val="0"/>
    </w:pPr>
    <w:rPr>
      <w:rFonts w:ascii="Calibri" w:hAnsi="Calibri"/>
      <w:b/>
      <w:bCs/>
      <w:kern w:val="44"/>
      <w:sz w:val="44"/>
      <w:szCs w:val="44"/>
    </w:rPr>
  </w:style>
  <w:style w:type="paragraph" w:styleId="2">
    <w:name w:val="heading 2"/>
    <w:basedOn w:val="a0"/>
    <w:next w:val="a0"/>
    <w:link w:val="20"/>
    <w:uiPriority w:val="9"/>
    <w:unhideWhenUsed/>
    <w:qFormat/>
    <w:rsid w:val="006B0F0D"/>
    <w:pPr>
      <w:keepNext/>
      <w:keepLines/>
      <w:spacing w:before="260" w:after="260" w:line="416" w:lineRule="auto"/>
      <w:outlineLvl w:val="1"/>
    </w:pPr>
    <w:rPr>
      <w:rFonts w:ascii="Cambria" w:hAnsi="Cambria"/>
      <w:b/>
      <w:bCs/>
      <w:kern w:val="0"/>
      <w:sz w:val="32"/>
      <w:szCs w:val="32"/>
    </w:rPr>
  </w:style>
  <w:style w:type="paragraph" w:styleId="3">
    <w:name w:val="heading 3"/>
    <w:basedOn w:val="a0"/>
    <w:next w:val="a0"/>
    <w:link w:val="30"/>
    <w:uiPriority w:val="9"/>
    <w:unhideWhenUsed/>
    <w:qFormat/>
    <w:rsid w:val="006B0F0D"/>
    <w:pPr>
      <w:keepNext/>
      <w:keepLines/>
      <w:spacing w:before="260" w:after="260" w:line="416" w:lineRule="auto"/>
      <w:outlineLvl w:val="2"/>
    </w:pPr>
    <w:rPr>
      <w:rFonts w:ascii="Calibri" w:hAnsi="Calibri"/>
      <w:b/>
      <w:bCs/>
      <w:kern w:val="0"/>
      <w:sz w:val="32"/>
      <w:szCs w:val="32"/>
    </w:rPr>
  </w:style>
  <w:style w:type="paragraph" w:styleId="4">
    <w:name w:val="heading 4"/>
    <w:basedOn w:val="a0"/>
    <w:next w:val="a0"/>
    <w:link w:val="40"/>
    <w:uiPriority w:val="9"/>
    <w:semiHidden/>
    <w:unhideWhenUsed/>
    <w:qFormat/>
    <w:rsid w:val="00B806B1"/>
    <w:pPr>
      <w:keepNext/>
      <w:keepLines/>
      <w:widowControl/>
      <w:spacing w:before="280" w:after="290" w:line="376" w:lineRule="auto"/>
      <w:jc w:val="left"/>
      <w:outlineLvl w:val="3"/>
    </w:pPr>
    <w:rPr>
      <w:rFonts w:asciiTheme="majorHAnsi" w:eastAsiaTheme="majorEastAsia" w:hAnsiTheme="majorHAnsi" w:cstheme="majorBidi"/>
      <w:b/>
      <w:bCs/>
      <w:kern w:val="0"/>
      <w:sz w:val="28"/>
      <w:szCs w:val="28"/>
    </w:rPr>
  </w:style>
  <w:style w:type="paragraph" w:styleId="5">
    <w:name w:val="heading 5"/>
    <w:basedOn w:val="a0"/>
    <w:next w:val="a0"/>
    <w:link w:val="51"/>
    <w:uiPriority w:val="9"/>
    <w:semiHidden/>
    <w:unhideWhenUsed/>
    <w:qFormat/>
    <w:rsid w:val="00B806B1"/>
    <w:pPr>
      <w:keepNext/>
      <w:keepLines/>
      <w:widowControl/>
      <w:spacing w:before="280" w:after="290" w:line="376" w:lineRule="auto"/>
      <w:jc w:val="left"/>
      <w:outlineLvl w:val="4"/>
    </w:pPr>
    <w:rPr>
      <w:rFonts w:cs="宋体"/>
      <w:b/>
      <w:bCs/>
      <w:kern w:val="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網文引用"/>
    <w:basedOn w:val="a0"/>
    <w:link w:val="Char"/>
    <w:qFormat/>
    <w:rsid w:val="003541B9"/>
    <w:pPr>
      <w:tabs>
        <w:tab w:val="left" w:pos="397"/>
      </w:tabs>
      <w:overflowPunct w:val="0"/>
      <w:topLinePunct/>
      <w:autoSpaceDE w:val="0"/>
      <w:autoSpaceDN w:val="0"/>
      <w:adjustRightInd w:val="0"/>
      <w:spacing w:beforeLines="150" w:before="150" w:afterLines="150" w:after="150" w:line="480" w:lineRule="auto"/>
      <w:ind w:left="420" w:firstLineChars="200" w:firstLine="200"/>
      <w:contextualSpacing/>
      <w:textAlignment w:val="baseline"/>
    </w:pPr>
    <w:rPr>
      <w:rFonts w:ascii="楷体" w:eastAsia="楷体" w:hAnsi="楷体"/>
      <w:spacing w:val="4"/>
      <w:kern w:val="0"/>
      <w:lang w:eastAsia="zh-TW"/>
    </w:rPr>
  </w:style>
  <w:style w:type="paragraph" w:styleId="a5">
    <w:name w:val="footnote text"/>
    <w:aliases w:val="脚注文本 Char Char Char Char Char,脚注文本 Char1,脚注文本 Char Char, Char Char Char, Char Char,Char Char Char,Char Char1,Char Char,Char,脚注文本 Char Char Char Char Char Char Char,脚注文本 Char Char Char Char Char Char, Char, 字元,字元, Char Char1,註腳文字 字元 字元,腳註,Char Char "/>
    <w:basedOn w:val="a0"/>
    <w:link w:val="11"/>
    <w:qFormat/>
    <w:rsid w:val="00CB0024"/>
    <w:pPr>
      <w:snapToGrid w:val="0"/>
      <w:jc w:val="left"/>
    </w:pPr>
    <w:rPr>
      <w:rFonts w:ascii="Times New Roman" w:eastAsia="PMingLiU" w:hAnsi="Times New Roman"/>
      <w:sz w:val="20"/>
      <w:szCs w:val="20"/>
      <w:lang w:eastAsia="zh-TW"/>
    </w:rPr>
  </w:style>
  <w:style w:type="character" w:customStyle="1" w:styleId="Char0">
    <w:name w:val="脚注文本 Char"/>
    <w:aliases w:val="脚注文本 Char Char Char Char,脚注文本 Char Char Char Char Char Char Char1,脚注文本 Char Char Char Char Char1,脚注文本 Char Char Char Char1"/>
    <w:uiPriority w:val="99"/>
    <w:rsid w:val="00CB0024"/>
    <w:rPr>
      <w:rFonts w:ascii="宋体"/>
      <w:kern w:val="2"/>
      <w:sz w:val="18"/>
      <w:szCs w:val="18"/>
    </w:rPr>
  </w:style>
  <w:style w:type="character" w:styleId="a6">
    <w:name w:val="footnote reference"/>
    <w:aliases w:val="论文脚注引用,a註腳參照"/>
    <w:qFormat/>
    <w:rsid w:val="00CB0024"/>
    <w:rPr>
      <w:vertAlign w:val="superscript"/>
    </w:rPr>
  </w:style>
  <w:style w:type="paragraph" w:styleId="a7">
    <w:name w:val="footer"/>
    <w:basedOn w:val="a0"/>
    <w:link w:val="a8"/>
    <w:uiPriority w:val="99"/>
    <w:qFormat/>
    <w:rsid w:val="00CB0024"/>
    <w:pPr>
      <w:tabs>
        <w:tab w:val="center" w:pos="4153"/>
        <w:tab w:val="right" w:pos="8306"/>
      </w:tabs>
      <w:snapToGrid w:val="0"/>
      <w:jc w:val="left"/>
    </w:pPr>
    <w:rPr>
      <w:rFonts w:ascii="Times New Roman" w:eastAsia="PMingLiU" w:hAnsi="Times New Roman"/>
      <w:sz w:val="20"/>
      <w:szCs w:val="20"/>
      <w:lang w:eastAsia="zh-TW"/>
    </w:rPr>
  </w:style>
  <w:style w:type="character" w:customStyle="1" w:styleId="a8">
    <w:name w:val="页脚 字符"/>
    <w:link w:val="a7"/>
    <w:uiPriority w:val="99"/>
    <w:qFormat/>
    <w:rsid w:val="00CB0024"/>
    <w:rPr>
      <w:rFonts w:ascii="Times New Roman" w:eastAsia="PMingLiU" w:hAnsi="Times New Roman"/>
      <w:kern w:val="2"/>
      <w:lang w:eastAsia="zh-TW"/>
    </w:rPr>
  </w:style>
  <w:style w:type="character" w:styleId="a9">
    <w:name w:val="page number"/>
    <w:rsid w:val="00CB0024"/>
  </w:style>
  <w:style w:type="paragraph" w:customStyle="1" w:styleId="aa">
    <w:name w:val="網文正文頂格"/>
    <w:basedOn w:val="ab"/>
    <w:qFormat/>
    <w:rsid w:val="0085243E"/>
    <w:pPr>
      <w:ind w:firstLineChars="0" w:firstLine="0"/>
      <w:jc w:val="left"/>
    </w:pPr>
  </w:style>
  <w:style w:type="character" w:customStyle="1" w:styleId="11">
    <w:name w:val="脚注文本 字符1"/>
    <w:aliases w:val="脚注文本 Char Char Char Char Char 字符,脚注文本 Char1 字符,脚注文本 Char Char 字符, Char Char Char 字符, Char Char 字符,Char Char Char 字符,Char Char1 字符,Char Char 字符,Char 字符,脚注文本 Char Char Char Char Char Char Char 字符,脚注文本 Char Char Char Char Char Char 字符, Char 字符1"/>
    <w:link w:val="a5"/>
    <w:uiPriority w:val="99"/>
    <w:semiHidden/>
    <w:locked/>
    <w:rsid w:val="00CB0024"/>
    <w:rPr>
      <w:rFonts w:ascii="Times New Roman" w:eastAsia="PMingLiU" w:hAnsi="Times New Roman"/>
      <w:kern w:val="2"/>
      <w:lang w:eastAsia="zh-TW"/>
    </w:rPr>
  </w:style>
  <w:style w:type="paragraph" w:customStyle="1" w:styleId="ac">
    <w:name w:val="網文標題"/>
    <w:basedOn w:val="a0"/>
    <w:link w:val="Char1"/>
    <w:qFormat/>
    <w:rsid w:val="00EF302F"/>
    <w:pPr>
      <w:jc w:val="center"/>
    </w:pPr>
    <w:rPr>
      <w:rFonts w:ascii="黑体"/>
      <w:b/>
      <w:sz w:val="32"/>
      <w:szCs w:val="44"/>
    </w:rPr>
  </w:style>
  <w:style w:type="character" w:customStyle="1" w:styleId="Char1">
    <w:name w:val="網文標題 Char"/>
    <w:link w:val="ac"/>
    <w:qFormat/>
    <w:rsid w:val="00EF302F"/>
    <w:rPr>
      <w:rFonts w:ascii="黑体"/>
      <w:b/>
      <w:kern w:val="2"/>
      <w:sz w:val="32"/>
      <w:szCs w:val="44"/>
    </w:rPr>
  </w:style>
  <w:style w:type="paragraph" w:customStyle="1" w:styleId="ad">
    <w:name w:val="網文作者"/>
    <w:basedOn w:val="a0"/>
    <w:link w:val="Char2"/>
    <w:qFormat/>
    <w:rsid w:val="002C4C02"/>
    <w:pPr>
      <w:jc w:val="center"/>
    </w:pPr>
    <w:rPr>
      <w:b/>
      <w:sz w:val="28"/>
      <w:lang w:eastAsia="zh-TW"/>
    </w:rPr>
  </w:style>
  <w:style w:type="character" w:customStyle="1" w:styleId="Char2">
    <w:name w:val="網文作者 Char"/>
    <w:link w:val="ad"/>
    <w:qFormat/>
    <w:rsid w:val="002C4C02"/>
    <w:rPr>
      <w:rFonts w:ascii="宋体" w:hAnsi="宋体"/>
      <w:b/>
      <w:kern w:val="2"/>
      <w:sz w:val="28"/>
      <w:szCs w:val="22"/>
      <w:lang w:eastAsia="zh-TW"/>
    </w:rPr>
  </w:style>
  <w:style w:type="paragraph" w:customStyle="1" w:styleId="ab">
    <w:name w:val="網文正文"/>
    <w:basedOn w:val="a0"/>
    <w:link w:val="Char3"/>
    <w:qFormat/>
    <w:rsid w:val="00FE20AC"/>
    <w:pPr>
      <w:spacing w:line="480" w:lineRule="auto"/>
      <w:ind w:firstLineChars="200" w:firstLine="200"/>
      <w:textAlignment w:val="center"/>
    </w:pPr>
    <w:rPr>
      <w:sz w:val="28"/>
    </w:rPr>
  </w:style>
  <w:style w:type="character" w:customStyle="1" w:styleId="Char3">
    <w:name w:val="網文正文 Char"/>
    <w:link w:val="ab"/>
    <w:qFormat/>
    <w:rsid w:val="00FE20AC"/>
    <w:rPr>
      <w:rFonts w:ascii="宋体" w:hAnsi="宋体"/>
      <w:kern w:val="2"/>
      <w:sz w:val="28"/>
      <w:szCs w:val="22"/>
    </w:rPr>
  </w:style>
  <w:style w:type="character" w:customStyle="1" w:styleId="Char">
    <w:name w:val="網文引用 Char"/>
    <w:link w:val="a4"/>
    <w:qFormat/>
    <w:rsid w:val="003541B9"/>
    <w:rPr>
      <w:rFonts w:ascii="楷体" w:eastAsia="楷体" w:hAnsi="楷体"/>
      <w:spacing w:val="4"/>
      <w:sz w:val="24"/>
      <w:szCs w:val="22"/>
      <w:lang w:eastAsia="zh-TW"/>
    </w:rPr>
  </w:style>
  <w:style w:type="paragraph" w:styleId="ae">
    <w:name w:val="endnote text"/>
    <w:basedOn w:val="a0"/>
    <w:link w:val="12"/>
    <w:unhideWhenUsed/>
    <w:qFormat/>
    <w:rsid w:val="00EF302F"/>
    <w:pPr>
      <w:snapToGrid w:val="0"/>
      <w:jc w:val="left"/>
    </w:pPr>
  </w:style>
  <w:style w:type="character" w:customStyle="1" w:styleId="12">
    <w:name w:val="尾注文本 字符1"/>
    <w:link w:val="ae"/>
    <w:uiPriority w:val="99"/>
    <w:rsid w:val="00EF302F"/>
    <w:rPr>
      <w:rFonts w:ascii="宋体" w:hAnsi="宋体"/>
      <w:kern w:val="2"/>
      <w:sz w:val="24"/>
      <w:szCs w:val="22"/>
    </w:rPr>
  </w:style>
  <w:style w:type="character" w:styleId="af">
    <w:name w:val="endnote reference"/>
    <w:unhideWhenUsed/>
    <w:qFormat/>
    <w:rsid w:val="00EF302F"/>
    <w:rPr>
      <w:vertAlign w:val="superscript"/>
    </w:rPr>
  </w:style>
  <w:style w:type="paragraph" w:styleId="af0">
    <w:name w:val="header"/>
    <w:basedOn w:val="a0"/>
    <w:link w:val="af1"/>
    <w:uiPriority w:val="99"/>
    <w:unhideWhenUsed/>
    <w:qFormat/>
    <w:rsid w:val="00EF302F"/>
    <w:pPr>
      <w:pBdr>
        <w:bottom w:val="single" w:sz="6" w:space="1" w:color="auto"/>
      </w:pBdr>
      <w:tabs>
        <w:tab w:val="center" w:pos="4153"/>
        <w:tab w:val="right" w:pos="8306"/>
      </w:tabs>
      <w:snapToGrid w:val="0"/>
      <w:jc w:val="center"/>
    </w:pPr>
    <w:rPr>
      <w:sz w:val="18"/>
      <w:szCs w:val="18"/>
    </w:rPr>
  </w:style>
  <w:style w:type="character" w:customStyle="1" w:styleId="af1">
    <w:name w:val="页眉 字符"/>
    <w:link w:val="af0"/>
    <w:uiPriority w:val="99"/>
    <w:qFormat/>
    <w:rsid w:val="00EF302F"/>
    <w:rPr>
      <w:rFonts w:ascii="宋体" w:hAnsi="宋体"/>
      <w:kern w:val="2"/>
      <w:sz w:val="18"/>
      <w:szCs w:val="18"/>
    </w:rPr>
  </w:style>
  <w:style w:type="character" w:customStyle="1" w:styleId="st1">
    <w:name w:val="st1"/>
    <w:rsid w:val="00D67634"/>
  </w:style>
  <w:style w:type="paragraph" w:styleId="af2">
    <w:name w:val="caption"/>
    <w:basedOn w:val="a0"/>
    <w:next w:val="a0"/>
    <w:unhideWhenUsed/>
    <w:qFormat/>
    <w:rsid w:val="00BE5AA8"/>
    <w:rPr>
      <w:rFonts w:ascii="Cambria" w:eastAsia="黑体" w:hAnsi="Cambria"/>
      <w:sz w:val="20"/>
      <w:szCs w:val="20"/>
    </w:rPr>
  </w:style>
  <w:style w:type="character" w:styleId="af3">
    <w:name w:val="Hyperlink"/>
    <w:uiPriority w:val="99"/>
    <w:unhideWhenUsed/>
    <w:qFormat/>
    <w:rsid w:val="000626A6"/>
    <w:rPr>
      <w:color w:val="0563C1"/>
      <w:u w:val="single"/>
    </w:rPr>
  </w:style>
  <w:style w:type="paragraph" w:customStyle="1" w:styleId="110">
    <w:name w:val="标题 11"/>
    <w:basedOn w:val="a0"/>
    <w:next w:val="a0"/>
    <w:uiPriority w:val="9"/>
    <w:qFormat/>
    <w:rsid w:val="006B0F0D"/>
    <w:pPr>
      <w:keepNext/>
      <w:keepLines/>
      <w:spacing w:before="340" w:after="330" w:line="578" w:lineRule="auto"/>
      <w:outlineLvl w:val="0"/>
    </w:pPr>
    <w:rPr>
      <w:rFonts w:ascii="Calibri" w:hAnsi="Calibri"/>
      <w:b/>
      <w:bCs/>
      <w:kern w:val="44"/>
      <w:sz w:val="44"/>
      <w:szCs w:val="44"/>
    </w:rPr>
  </w:style>
  <w:style w:type="paragraph" w:customStyle="1" w:styleId="21">
    <w:name w:val="标题 21"/>
    <w:basedOn w:val="a0"/>
    <w:next w:val="a0"/>
    <w:uiPriority w:val="9"/>
    <w:semiHidden/>
    <w:unhideWhenUsed/>
    <w:qFormat/>
    <w:rsid w:val="006B0F0D"/>
    <w:pPr>
      <w:keepNext/>
      <w:keepLines/>
      <w:spacing w:before="260" w:after="260" w:line="416" w:lineRule="auto"/>
      <w:outlineLvl w:val="1"/>
    </w:pPr>
    <w:rPr>
      <w:rFonts w:ascii="Cambria" w:hAnsi="Cambria"/>
      <w:b/>
      <w:bCs/>
      <w:sz w:val="32"/>
      <w:szCs w:val="32"/>
    </w:rPr>
  </w:style>
  <w:style w:type="paragraph" w:customStyle="1" w:styleId="31">
    <w:name w:val="标题 31"/>
    <w:basedOn w:val="a0"/>
    <w:next w:val="a0"/>
    <w:uiPriority w:val="9"/>
    <w:semiHidden/>
    <w:unhideWhenUsed/>
    <w:qFormat/>
    <w:rsid w:val="006B0F0D"/>
    <w:pPr>
      <w:keepNext/>
      <w:keepLines/>
      <w:spacing w:before="260" w:after="260" w:line="416" w:lineRule="auto"/>
      <w:outlineLvl w:val="2"/>
    </w:pPr>
    <w:rPr>
      <w:rFonts w:ascii="Calibri" w:hAnsi="Calibri"/>
      <w:b/>
      <w:bCs/>
      <w:sz w:val="32"/>
      <w:szCs w:val="32"/>
    </w:rPr>
  </w:style>
  <w:style w:type="character" w:customStyle="1" w:styleId="10">
    <w:name w:val="标题 1 字符"/>
    <w:link w:val="1"/>
    <w:uiPriority w:val="9"/>
    <w:qFormat/>
    <w:rsid w:val="006B0F0D"/>
    <w:rPr>
      <w:b/>
      <w:bCs/>
      <w:kern w:val="44"/>
      <w:sz w:val="44"/>
      <w:szCs w:val="44"/>
    </w:rPr>
  </w:style>
  <w:style w:type="character" w:customStyle="1" w:styleId="20">
    <w:name w:val="标题 2 字符"/>
    <w:link w:val="2"/>
    <w:uiPriority w:val="9"/>
    <w:qFormat/>
    <w:rsid w:val="006B0F0D"/>
    <w:rPr>
      <w:rFonts w:ascii="Cambria" w:eastAsia="宋体" w:hAnsi="Cambria" w:cs="Times New Roman"/>
      <w:b/>
      <w:bCs/>
      <w:sz w:val="32"/>
      <w:szCs w:val="32"/>
    </w:rPr>
  </w:style>
  <w:style w:type="character" w:customStyle="1" w:styleId="30">
    <w:name w:val="标题 3 字符"/>
    <w:link w:val="3"/>
    <w:uiPriority w:val="9"/>
    <w:qFormat/>
    <w:rsid w:val="006B0F0D"/>
    <w:rPr>
      <w:b/>
      <w:bCs/>
      <w:sz w:val="32"/>
      <w:szCs w:val="32"/>
    </w:rPr>
  </w:style>
  <w:style w:type="paragraph" w:customStyle="1" w:styleId="13">
    <w:name w:val="无间隔1"/>
    <w:next w:val="af4"/>
    <w:uiPriority w:val="1"/>
    <w:qFormat/>
    <w:rsid w:val="006B0F0D"/>
    <w:pPr>
      <w:widowControl w:val="0"/>
      <w:jc w:val="both"/>
    </w:pPr>
    <w:rPr>
      <w:kern w:val="2"/>
      <w:sz w:val="21"/>
      <w:szCs w:val="22"/>
    </w:rPr>
  </w:style>
  <w:style w:type="paragraph" w:customStyle="1" w:styleId="14">
    <w:name w:val="批注框文本1"/>
    <w:basedOn w:val="a0"/>
    <w:next w:val="af5"/>
    <w:link w:val="Char4"/>
    <w:uiPriority w:val="99"/>
    <w:semiHidden/>
    <w:unhideWhenUsed/>
    <w:rsid w:val="006B0F0D"/>
    <w:rPr>
      <w:rFonts w:ascii="Calibri" w:hAnsi="Calibri"/>
      <w:kern w:val="0"/>
      <w:sz w:val="18"/>
      <w:szCs w:val="18"/>
    </w:rPr>
  </w:style>
  <w:style w:type="character" w:customStyle="1" w:styleId="Char4">
    <w:name w:val="批注框文本 Char"/>
    <w:link w:val="14"/>
    <w:uiPriority w:val="99"/>
    <w:semiHidden/>
    <w:rsid w:val="006B0F0D"/>
    <w:rPr>
      <w:sz w:val="18"/>
      <w:szCs w:val="18"/>
    </w:rPr>
  </w:style>
  <w:style w:type="paragraph" w:customStyle="1" w:styleId="15">
    <w:name w:val="列出段落1"/>
    <w:basedOn w:val="a0"/>
    <w:next w:val="af6"/>
    <w:uiPriority w:val="34"/>
    <w:qFormat/>
    <w:rsid w:val="006B0F0D"/>
    <w:pPr>
      <w:spacing w:after="120" w:line="276" w:lineRule="auto"/>
      <w:ind w:firstLineChars="200" w:firstLine="420"/>
    </w:pPr>
    <w:rPr>
      <w:rFonts w:ascii="Calibri" w:hAnsi="Calibri"/>
      <w:sz w:val="21"/>
    </w:rPr>
  </w:style>
  <w:style w:type="character" w:customStyle="1" w:styleId="1Char1">
    <w:name w:val="标题 1 Char1"/>
    <w:uiPriority w:val="9"/>
    <w:rsid w:val="006B0F0D"/>
    <w:rPr>
      <w:rFonts w:ascii="宋体" w:hAnsi="宋体"/>
      <w:b/>
      <w:bCs/>
      <w:kern w:val="44"/>
      <w:sz w:val="44"/>
      <w:szCs w:val="44"/>
    </w:rPr>
  </w:style>
  <w:style w:type="character" w:customStyle="1" w:styleId="2Char1">
    <w:name w:val="标题 2 Char1"/>
    <w:uiPriority w:val="9"/>
    <w:semiHidden/>
    <w:rsid w:val="006B0F0D"/>
    <w:rPr>
      <w:rFonts w:ascii="Calibri Light" w:eastAsia="宋体" w:hAnsi="Calibri Light" w:cs="Times New Roman"/>
      <w:b/>
      <w:bCs/>
      <w:kern w:val="2"/>
      <w:sz w:val="32"/>
      <w:szCs w:val="32"/>
    </w:rPr>
  </w:style>
  <w:style w:type="character" w:customStyle="1" w:styleId="3Char1">
    <w:name w:val="标题 3 Char1"/>
    <w:uiPriority w:val="9"/>
    <w:semiHidden/>
    <w:rsid w:val="006B0F0D"/>
    <w:rPr>
      <w:rFonts w:ascii="宋体" w:hAnsi="宋体"/>
      <w:b/>
      <w:bCs/>
      <w:kern w:val="2"/>
      <w:sz w:val="32"/>
      <w:szCs w:val="32"/>
    </w:rPr>
  </w:style>
  <w:style w:type="paragraph" w:styleId="af4">
    <w:name w:val="No Spacing"/>
    <w:uiPriority w:val="1"/>
    <w:qFormat/>
    <w:rsid w:val="006B0F0D"/>
    <w:pPr>
      <w:widowControl w:val="0"/>
      <w:jc w:val="both"/>
    </w:pPr>
    <w:rPr>
      <w:rFonts w:ascii="宋体" w:hAnsi="宋体"/>
      <w:kern w:val="2"/>
      <w:sz w:val="24"/>
      <w:szCs w:val="22"/>
    </w:rPr>
  </w:style>
  <w:style w:type="paragraph" w:styleId="af5">
    <w:name w:val="Balloon Text"/>
    <w:basedOn w:val="a0"/>
    <w:link w:val="af7"/>
    <w:uiPriority w:val="99"/>
    <w:semiHidden/>
    <w:unhideWhenUsed/>
    <w:qFormat/>
    <w:rsid w:val="006B0F0D"/>
    <w:rPr>
      <w:sz w:val="18"/>
      <w:szCs w:val="18"/>
    </w:rPr>
  </w:style>
  <w:style w:type="character" w:customStyle="1" w:styleId="af7">
    <w:name w:val="批注框文本 字符"/>
    <w:link w:val="af5"/>
    <w:uiPriority w:val="99"/>
    <w:semiHidden/>
    <w:qFormat/>
    <w:rsid w:val="006B0F0D"/>
    <w:rPr>
      <w:rFonts w:ascii="宋体" w:hAnsi="宋体"/>
      <w:kern w:val="2"/>
      <w:sz w:val="18"/>
      <w:szCs w:val="18"/>
    </w:rPr>
  </w:style>
  <w:style w:type="paragraph" w:styleId="af6">
    <w:name w:val="List Paragraph"/>
    <w:basedOn w:val="a0"/>
    <w:uiPriority w:val="34"/>
    <w:qFormat/>
    <w:rsid w:val="006B0F0D"/>
    <w:pPr>
      <w:ind w:firstLineChars="200" w:firstLine="420"/>
    </w:pPr>
  </w:style>
  <w:style w:type="character" w:customStyle="1" w:styleId="apple-converted-space">
    <w:name w:val="apple-converted-space"/>
    <w:rsid w:val="00365AA8"/>
  </w:style>
  <w:style w:type="paragraph" w:customStyle="1" w:styleId="Default">
    <w:name w:val="Default"/>
    <w:rsid w:val="00F74311"/>
    <w:pPr>
      <w:widowControl w:val="0"/>
      <w:autoSpaceDE w:val="0"/>
      <w:autoSpaceDN w:val="0"/>
      <w:adjustRightInd w:val="0"/>
    </w:pPr>
    <w:rPr>
      <w:rFonts w:ascii="黑体" w:eastAsia="黑体" w:cs="黑体"/>
      <w:color w:val="000000"/>
      <w:sz w:val="24"/>
      <w:szCs w:val="24"/>
    </w:rPr>
  </w:style>
  <w:style w:type="character" w:styleId="af8">
    <w:name w:val="Emphasis"/>
    <w:uiPriority w:val="20"/>
    <w:qFormat/>
    <w:rsid w:val="00F74311"/>
    <w:rPr>
      <w:i/>
      <w:iCs/>
    </w:rPr>
  </w:style>
  <w:style w:type="paragraph" w:customStyle="1" w:styleId="Char10">
    <w:name w:val="Char1"/>
    <w:basedOn w:val="a0"/>
    <w:rsid w:val="00C75C1A"/>
    <w:rPr>
      <w:rFonts w:ascii="Tahoma" w:hAnsi="Tahoma"/>
      <w:szCs w:val="20"/>
    </w:rPr>
  </w:style>
  <w:style w:type="character" w:customStyle="1" w:styleId="postbody1">
    <w:name w:val="postbody1"/>
    <w:rsid w:val="00C75C1A"/>
    <w:rPr>
      <w:sz w:val="11"/>
      <w:szCs w:val="11"/>
    </w:rPr>
  </w:style>
  <w:style w:type="character" w:customStyle="1" w:styleId="hot">
    <w:name w:val="hot"/>
    <w:basedOn w:val="a1"/>
    <w:rsid w:val="00C75C1A"/>
  </w:style>
  <w:style w:type="character" w:customStyle="1" w:styleId="note">
    <w:name w:val="note"/>
    <w:rsid w:val="00C75C1A"/>
    <w:rPr>
      <w:b w:val="0"/>
      <w:bCs w:val="0"/>
      <w:color w:val="800080"/>
      <w:sz w:val="20"/>
      <w:szCs w:val="20"/>
    </w:rPr>
  </w:style>
  <w:style w:type="character" w:customStyle="1" w:styleId="CharChar7">
    <w:name w:val="Char Char7"/>
    <w:semiHidden/>
    <w:rsid w:val="00C75C1A"/>
    <w:rPr>
      <w:rFonts w:eastAsia="宋体"/>
      <w:kern w:val="2"/>
      <w:sz w:val="18"/>
      <w:szCs w:val="18"/>
      <w:lang w:val="en-US" w:eastAsia="zh-CN" w:bidi="ar-SA"/>
    </w:rPr>
  </w:style>
  <w:style w:type="paragraph" w:styleId="af9">
    <w:name w:val="Body Text"/>
    <w:basedOn w:val="a0"/>
    <w:link w:val="afa"/>
    <w:rsid w:val="00C75C1A"/>
    <w:pPr>
      <w:spacing w:after="120"/>
    </w:pPr>
    <w:rPr>
      <w:rFonts w:ascii="Calibri" w:hAnsi="Calibri"/>
      <w:kern w:val="0"/>
      <w:sz w:val="20"/>
      <w:szCs w:val="20"/>
    </w:rPr>
  </w:style>
  <w:style w:type="character" w:customStyle="1" w:styleId="afa">
    <w:name w:val="正文文本 字符"/>
    <w:link w:val="af9"/>
    <w:rsid w:val="00C75C1A"/>
    <w:rPr>
      <w:lang w:val="en-US" w:eastAsia="zh-CN"/>
    </w:rPr>
  </w:style>
  <w:style w:type="character" w:customStyle="1" w:styleId="byline1">
    <w:name w:val="byline1"/>
    <w:rsid w:val="00C75C1A"/>
    <w:rPr>
      <w:b w:val="0"/>
      <w:bCs w:val="0"/>
      <w:color w:val="408080"/>
      <w:sz w:val="32"/>
      <w:szCs w:val="32"/>
    </w:rPr>
  </w:style>
  <w:style w:type="character" w:customStyle="1" w:styleId="Hyperlink0">
    <w:name w:val="Hyperlink.0"/>
    <w:rsid w:val="00196304"/>
    <w:rPr>
      <w:rFonts w:ascii="DFKai-SB" w:eastAsia="DFKai-SB" w:hAnsi="DFKai-SB" w:cs="DFKai-SB"/>
      <w:sz w:val="22"/>
      <w:szCs w:val="22"/>
      <w:lang w:val="zh-TW" w:eastAsia="zh-TW"/>
    </w:rPr>
  </w:style>
  <w:style w:type="character" w:customStyle="1" w:styleId="afb">
    <w:name w:val="尾注文本 字符"/>
    <w:link w:val="16"/>
    <w:rsid w:val="008C1BEA"/>
    <w:rPr>
      <w:kern w:val="2"/>
      <w:sz w:val="21"/>
      <w:szCs w:val="24"/>
    </w:rPr>
  </w:style>
  <w:style w:type="character" w:customStyle="1" w:styleId="afc">
    <w:name w:val="脚注文本 字符"/>
    <w:aliases w:val="脚注文本 Char 字符, Char 字符, 字元 字符,字元 字符, Char Char1 字符,註腳文字 字元 字元 字符,Char Char C 字符,脚注文本 Char Char Char Char Char Char Char Char Char Char Char Char Char Char Char Char Char Char Char Char Char 字符, Char Char Char Char 字符,Char Char Char Char 字符,腳 字符"/>
    <w:uiPriority w:val="99"/>
    <w:qFormat/>
    <w:rsid w:val="00C037A6"/>
    <w:rPr>
      <w:sz w:val="20"/>
      <w:szCs w:val="20"/>
    </w:rPr>
  </w:style>
  <w:style w:type="paragraph" w:styleId="afd">
    <w:name w:val="Normal (Web)"/>
    <w:basedOn w:val="a0"/>
    <w:unhideWhenUsed/>
    <w:qFormat/>
    <w:rsid w:val="00A7444E"/>
    <w:pPr>
      <w:widowControl/>
      <w:spacing w:before="100" w:beforeAutospacing="1" w:after="100" w:afterAutospacing="1"/>
      <w:jc w:val="left"/>
    </w:pPr>
    <w:rPr>
      <w:rFonts w:cs="宋体"/>
      <w:kern w:val="0"/>
      <w:szCs w:val="24"/>
    </w:rPr>
  </w:style>
  <w:style w:type="character" w:styleId="afe">
    <w:name w:val="Strong"/>
    <w:uiPriority w:val="22"/>
    <w:qFormat/>
    <w:rsid w:val="00635FA4"/>
    <w:rPr>
      <w:b/>
    </w:rPr>
  </w:style>
  <w:style w:type="paragraph" w:customStyle="1" w:styleId="aff">
    <w:name w:val="注文"/>
    <w:basedOn w:val="a0"/>
    <w:qFormat/>
    <w:rsid w:val="00635FA4"/>
    <w:pPr>
      <w:ind w:leftChars="405" w:left="1155" w:hangingChars="10" w:hanging="21"/>
    </w:pPr>
    <w:rPr>
      <w:rFonts w:ascii="Calibri" w:hAnsi="Calibri"/>
      <w:color w:val="92D050"/>
      <w:sz w:val="21"/>
      <w:szCs w:val="21"/>
    </w:rPr>
  </w:style>
  <w:style w:type="paragraph" w:customStyle="1" w:styleId="aff0">
    <w:name w:val="小標"/>
    <w:basedOn w:val="a0"/>
    <w:qFormat/>
    <w:rsid w:val="00635FA4"/>
    <w:pPr>
      <w:ind w:leftChars="53" w:left="708" w:hangingChars="200" w:hanging="560"/>
    </w:pPr>
    <w:rPr>
      <w:rFonts w:ascii="Calibri" w:hAnsi="Calibri"/>
      <w:sz w:val="21"/>
      <w:szCs w:val="24"/>
    </w:rPr>
  </w:style>
  <w:style w:type="paragraph" w:styleId="aff1">
    <w:name w:val="Date"/>
    <w:basedOn w:val="a0"/>
    <w:next w:val="a0"/>
    <w:link w:val="aff2"/>
    <w:uiPriority w:val="99"/>
    <w:semiHidden/>
    <w:unhideWhenUsed/>
    <w:rsid w:val="008839BB"/>
    <w:pPr>
      <w:ind w:leftChars="2500" w:left="100"/>
    </w:pPr>
  </w:style>
  <w:style w:type="character" w:customStyle="1" w:styleId="aff2">
    <w:name w:val="日期 字符"/>
    <w:link w:val="aff1"/>
    <w:uiPriority w:val="99"/>
    <w:semiHidden/>
    <w:rsid w:val="008839BB"/>
    <w:rPr>
      <w:rFonts w:ascii="宋体" w:hAnsi="宋体"/>
      <w:kern w:val="2"/>
      <w:sz w:val="24"/>
      <w:szCs w:val="22"/>
    </w:rPr>
  </w:style>
  <w:style w:type="character" w:customStyle="1" w:styleId="Char5">
    <w:name w:val="尾注文本 Char"/>
    <w:rsid w:val="003E1E5C"/>
    <w:rPr>
      <w:kern w:val="2"/>
      <w:sz w:val="21"/>
      <w:szCs w:val="24"/>
    </w:rPr>
  </w:style>
  <w:style w:type="table" w:styleId="aff3">
    <w:name w:val="Table Grid"/>
    <w:basedOn w:val="a2"/>
    <w:qFormat/>
    <w:rsid w:val="0040573D"/>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60101E"/>
    <w:rPr>
      <w:rFonts w:ascii="TimesNewRomanPS-BoldMT" w:hAnsi="TimesNewRomanPS-BoldMT" w:hint="default"/>
      <w:b/>
      <w:bCs/>
      <w:i w:val="0"/>
      <w:iCs w:val="0"/>
      <w:color w:val="000000"/>
      <w:sz w:val="36"/>
      <w:szCs w:val="36"/>
    </w:rPr>
  </w:style>
  <w:style w:type="character" w:customStyle="1" w:styleId="fontstyle11">
    <w:name w:val="fontstyle11"/>
    <w:basedOn w:val="a1"/>
    <w:rsid w:val="0060101E"/>
    <w:rPr>
      <w:rFonts w:ascii="宋体" w:eastAsia="宋体" w:hAnsi="宋体" w:hint="eastAsia"/>
      <w:b w:val="0"/>
      <w:bCs w:val="0"/>
      <w:i w:val="0"/>
      <w:iCs w:val="0"/>
      <w:color w:val="000000"/>
      <w:sz w:val="36"/>
      <w:szCs w:val="36"/>
    </w:rPr>
  </w:style>
  <w:style w:type="character" w:customStyle="1" w:styleId="fontstyle21">
    <w:name w:val="fontstyle21"/>
    <w:basedOn w:val="a1"/>
    <w:rsid w:val="0060101E"/>
    <w:rPr>
      <w:rFonts w:ascii="Batang" w:eastAsia="Batang" w:hint="eastAsia"/>
      <w:b w:val="0"/>
      <w:bCs w:val="0"/>
      <w:i w:val="0"/>
      <w:iCs w:val="0"/>
      <w:color w:val="000000"/>
      <w:sz w:val="24"/>
      <w:szCs w:val="24"/>
    </w:rPr>
  </w:style>
  <w:style w:type="character" w:customStyle="1" w:styleId="fontstyle31">
    <w:name w:val="fontstyle31"/>
    <w:basedOn w:val="a1"/>
    <w:rsid w:val="0060101E"/>
    <w:rPr>
      <w:rFonts w:ascii="New Gulim" w:hAnsi="New Gulim" w:hint="default"/>
      <w:b w:val="0"/>
      <w:bCs w:val="0"/>
      <w:i w:val="0"/>
      <w:iCs w:val="0"/>
      <w:color w:val="000000"/>
      <w:sz w:val="24"/>
      <w:szCs w:val="24"/>
    </w:rPr>
  </w:style>
  <w:style w:type="paragraph" w:styleId="aff4">
    <w:name w:val="Title"/>
    <w:basedOn w:val="a0"/>
    <w:next w:val="a0"/>
    <w:link w:val="17"/>
    <w:uiPriority w:val="10"/>
    <w:qFormat/>
    <w:rsid w:val="009911B7"/>
    <w:pPr>
      <w:spacing w:before="240" w:after="60"/>
      <w:jc w:val="center"/>
      <w:outlineLvl w:val="0"/>
    </w:pPr>
    <w:rPr>
      <w:rFonts w:ascii="Cambria" w:hAnsi="Cambria"/>
      <w:b/>
      <w:bCs/>
      <w:sz w:val="32"/>
      <w:szCs w:val="32"/>
    </w:rPr>
  </w:style>
  <w:style w:type="character" w:customStyle="1" w:styleId="aff5">
    <w:name w:val="标题 字符"/>
    <w:basedOn w:val="a1"/>
    <w:uiPriority w:val="10"/>
    <w:rsid w:val="009911B7"/>
    <w:rPr>
      <w:rFonts w:asciiTheme="majorHAnsi" w:eastAsiaTheme="majorEastAsia" w:hAnsiTheme="majorHAnsi" w:cstheme="majorBidi"/>
      <w:b/>
      <w:bCs/>
      <w:kern w:val="2"/>
      <w:sz w:val="32"/>
      <w:szCs w:val="32"/>
    </w:rPr>
  </w:style>
  <w:style w:type="character" w:customStyle="1" w:styleId="17">
    <w:name w:val="标题 字符1"/>
    <w:link w:val="aff4"/>
    <w:rsid w:val="009911B7"/>
    <w:rPr>
      <w:rFonts w:ascii="Cambria" w:hAnsi="Cambria"/>
      <w:b/>
      <w:bCs/>
      <w:kern w:val="2"/>
      <w:sz w:val="32"/>
      <w:szCs w:val="32"/>
    </w:rPr>
  </w:style>
  <w:style w:type="character" w:customStyle="1" w:styleId="WW-FootnoteReference1">
    <w:name w:val="WW-Footnote Reference1"/>
    <w:rsid w:val="00644D5B"/>
    <w:rPr>
      <w:vertAlign w:val="superscript"/>
    </w:rPr>
  </w:style>
  <w:style w:type="character" w:customStyle="1" w:styleId="EndnoteCharacters">
    <w:name w:val="Endnote Characters"/>
    <w:rsid w:val="00644D5B"/>
    <w:rPr>
      <w:vertAlign w:val="superscript"/>
    </w:rPr>
  </w:style>
  <w:style w:type="character" w:customStyle="1" w:styleId="WW-EndnoteReference12345678">
    <w:name w:val="WW-Endnote Reference12345678"/>
    <w:rsid w:val="00644D5B"/>
    <w:rPr>
      <w:vertAlign w:val="superscript"/>
    </w:rPr>
  </w:style>
  <w:style w:type="paragraph" w:customStyle="1" w:styleId="ListHeading">
    <w:name w:val="List Heading"/>
    <w:basedOn w:val="a0"/>
    <w:next w:val="a0"/>
    <w:rsid w:val="00644D5B"/>
    <w:pPr>
      <w:widowControl/>
      <w:suppressAutoHyphens/>
      <w:jc w:val="left"/>
    </w:pPr>
    <w:rPr>
      <w:rFonts w:ascii="Times New Roman" w:eastAsia="Times New Roman" w:hAnsi="Times New Roman"/>
      <w:kern w:val="1"/>
      <w:szCs w:val="24"/>
      <w:lang w:eastAsia="ar-SA"/>
    </w:rPr>
  </w:style>
  <w:style w:type="paragraph" w:customStyle="1" w:styleId="Quotations">
    <w:name w:val="Quotations"/>
    <w:basedOn w:val="a0"/>
    <w:rsid w:val="00644D5B"/>
    <w:pPr>
      <w:widowControl/>
      <w:suppressAutoHyphens/>
      <w:spacing w:after="283"/>
      <w:ind w:left="567" w:right="567"/>
      <w:jc w:val="left"/>
    </w:pPr>
    <w:rPr>
      <w:rFonts w:ascii="Times New Roman" w:eastAsia="Times New Roman" w:hAnsi="Times New Roman"/>
      <w:kern w:val="1"/>
      <w:szCs w:val="24"/>
      <w:lang w:eastAsia="ar-SA"/>
    </w:rPr>
  </w:style>
  <w:style w:type="paragraph" w:customStyle="1" w:styleId="Pa61">
    <w:name w:val="Pa6+1"/>
    <w:basedOn w:val="a0"/>
    <w:next w:val="a0"/>
    <w:rsid w:val="00644D5B"/>
    <w:pPr>
      <w:widowControl/>
      <w:suppressAutoHyphens/>
      <w:spacing w:line="281" w:lineRule="atLeast"/>
      <w:jc w:val="left"/>
    </w:pPr>
    <w:rPr>
      <w:rFonts w:ascii="Times New Roman" w:hAnsi="Times New Roman" w:cs="Mangal"/>
      <w:kern w:val="1"/>
      <w:szCs w:val="24"/>
      <w:lang w:eastAsia="ar-SA"/>
    </w:rPr>
  </w:style>
  <w:style w:type="character" w:customStyle="1" w:styleId="divimport1">
    <w:name w:val="divimport1"/>
    <w:basedOn w:val="a1"/>
    <w:rsid w:val="00077C36"/>
    <w:rPr>
      <w:rFonts w:ascii="宋体" w:eastAsia="宋体" w:hAnsi="宋体" w:hint="eastAsia"/>
      <w:i w:val="0"/>
      <w:iCs w:val="0"/>
      <w:vanish w:val="0"/>
      <w:webHidden w:val="0"/>
      <w:sz w:val="21"/>
      <w:szCs w:val="21"/>
      <w:bdr w:val="none" w:sz="0" w:space="0" w:color="auto" w:frame="1"/>
      <w:shd w:val="clear" w:color="auto" w:fill="FCFCFC"/>
      <w:specVanish w:val="0"/>
    </w:rPr>
  </w:style>
  <w:style w:type="paragraph" w:customStyle="1" w:styleId="CharCharChar1">
    <w:name w:val="脚注文本 Char Char Char1"/>
    <w:basedOn w:val="a0"/>
    <w:next w:val="a5"/>
    <w:unhideWhenUsed/>
    <w:rsid w:val="00077C36"/>
    <w:pPr>
      <w:snapToGrid w:val="0"/>
      <w:jc w:val="left"/>
    </w:pPr>
    <w:rPr>
      <w:rFonts w:asciiTheme="minorHAnsi" w:eastAsiaTheme="minorEastAsia" w:hAnsiTheme="minorHAnsi" w:cstheme="minorBidi"/>
      <w:sz w:val="18"/>
      <w:szCs w:val="18"/>
    </w:rPr>
  </w:style>
  <w:style w:type="character" w:customStyle="1" w:styleId="18">
    <w:name w:val="超链接1"/>
    <w:basedOn w:val="a1"/>
    <w:uiPriority w:val="99"/>
    <w:unhideWhenUsed/>
    <w:rsid w:val="00077C36"/>
    <w:rPr>
      <w:color w:val="0000FF"/>
      <w:u w:val="single"/>
    </w:rPr>
  </w:style>
  <w:style w:type="paragraph" w:customStyle="1" w:styleId="19">
    <w:name w:val="页眉1"/>
    <w:basedOn w:val="a0"/>
    <w:next w:val="af0"/>
    <w:uiPriority w:val="99"/>
    <w:unhideWhenUsed/>
    <w:rsid w:val="00077C3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customStyle="1" w:styleId="1a">
    <w:name w:val="页脚1"/>
    <w:basedOn w:val="a0"/>
    <w:next w:val="a7"/>
    <w:uiPriority w:val="99"/>
    <w:unhideWhenUsed/>
    <w:rsid w:val="00077C36"/>
    <w:pPr>
      <w:tabs>
        <w:tab w:val="center" w:pos="4153"/>
        <w:tab w:val="right" w:pos="8306"/>
      </w:tabs>
      <w:snapToGrid w:val="0"/>
      <w:jc w:val="left"/>
    </w:pPr>
    <w:rPr>
      <w:rFonts w:asciiTheme="minorHAnsi" w:eastAsiaTheme="minorEastAsia" w:hAnsiTheme="minorHAnsi" w:cstheme="minorBidi"/>
      <w:sz w:val="18"/>
      <w:szCs w:val="18"/>
    </w:rPr>
  </w:style>
  <w:style w:type="paragraph" w:customStyle="1" w:styleId="CharCharCharCharCharCharChar">
    <w:name w:val="Char Char Char Char Char Char Char"/>
    <w:basedOn w:val="a0"/>
    <w:rsid w:val="00077C36"/>
    <w:rPr>
      <w:rFonts w:ascii="Tahoma" w:hAnsi="Tahoma"/>
      <w:bCs/>
      <w:szCs w:val="20"/>
    </w:rPr>
  </w:style>
  <w:style w:type="paragraph" w:customStyle="1" w:styleId="CharCharCharCharCharCharChar6">
    <w:name w:val="Char Char Char Char Char Char Char6"/>
    <w:basedOn w:val="a0"/>
    <w:rsid w:val="00077C36"/>
    <w:rPr>
      <w:rFonts w:ascii="Tahoma" w:hAnsi="Tahoma"/>
      <w:bCs/>
      <w:szCs w:val="20"/>
    </w:rPr>
  </w:style>
  <w:style w:type="paragraph" w:customStyle="1" w:styleId="CharCharCharCharCharCharChar5">
    <w:name w:val="Char Char Char Char Char Char Char5"/>
    <w:basedOn w:val="a0"/>
    <w:rsid w:val="00077C36"/>
    <w:rPr>
      <w:rFonts w:ascii="Tahoma" w:hAnsi="Tahoma"/>
      <w:bCs/>
      <w:szCs w:val="20"/>
    </w:rPr>
  </w:style>
  <w:style w:type="paragraph" w:customStyle="1" w:styleId="CharCharCharCharCharCharChar4">
    <w:name w:val="Char Char Char Char Char Char Char4"/>
    <w:basedOn w:val="a0"/>
    <w:rsid w:val="00077C36"/>
    <w:rPr>
      <w:rFonts w:ascii="Tahoma" w:hAnsi="Tahoma"/>
      <w:bCs/>
      <w:szCs w:val="20"/>
    </w:rPr>
  </w:style>
  <w:style w:type="paragraph" w:customStyle="1" w:styleId="CharCharCharCharCharCharChar3">
    <w:name w:val="Char Char Char Char Char Char Char3"/>
    <w:basedOn w:val="a0"/>
    <w:rsid w:val="00077C36"/>
    <w:rPr>
      <w:rFonts w:ascii="Tahoma" w:hAnsi="Tahoma"/>
      <w:bCs/>
      <w:szCs w:val="20"/>
    </w:rPr>
  </w:style>
  <w:style w:type="paragraph" w:customStyle="1" w:styleId="CharCharCharCharCharCharChar2">
    <w:name w:val="Char Char Char Char Char Char Char2"/>
    <w:basedOn w:val="a0"/>
    <w:rsid w:val="00077C36"/>
    <w:rPr>
      <w:rFonts w:ascii="Tahoma" w:hAnsi="Tahoma"/>
      <w:bCs/>
      <w:szCs w:val="20"/>
    </w:rPr>
  </w:style>
  <w:style w:type="paragraph" w:customStyle="1" w:styleId="CharCharCharCharCharCharChar1">
    <w:name w:val="Char Char Char Char Char Char Char1"/>
    <w:basedOn w:val="a0"/>
    <w:rsid w:val="00077C36"/>
    <w:rPr>
      <w:rFonts w:ascii="Tahoma" w:hAnsi="Tahoma"/>
      <w:bCs/>
      <w:szCs w:val="20"/>
    </w:rPr>
  </w:style>
  <w:style w:type="character" w:customStyle="1" w:styleId="firstpagedate1">
    <w:name w:val="firstpagedate1"/>
    <w:rsid w:val="00077C36"/>
    <w:rPr>
      <w:rFonts w:ascii="ˎ̥" w:hAnsi="ˎ̥" w:hint="default"/>
      <w:b w:val="0"/>
      <w:bCs w:val="0"/>
      <w:i w:val="0"/>
      <w:iCs w:val="0"/>
      <w:caps w:val="0"/>
      <w:smallCaps w:val="0"/>
      <w:color w:val="5AAA5A"/>
      <w:sz w:val="18"/>
      <w:szCs w:val="18"/>
    </w:rPr>
  </w:style>
  <w:style w:type="character" w:customStyle="1" w:styleId="firstpagedate">
    <w:name w:val="firstpagedate"/>
    <w:basedOn w:val="a1"/>
    <w:rsid w:val="00077C36"/>
  </w:style>
  <w:style w:type="character" w:customStyle="1" w:styleId="1b">
    <w:name w:val="访问过的超链接1"/>
    <w:basedOn w:val="a1"/>
    <w:uiPriority w:val="99"/>
    <w:semiHidden/>
    <w:unhideWhenUsed/>
    <w:rsid w:val="00077C36"/>
    <w:rPr>
      <w:color w:val="800080"/>
      <w:u w:val="single"/>
    </w:rPr>
  </w:style>
  <w:style w:type="paragraph" w:customStyle="1" w:styleId="16">
    <w:name w:val="尾注文本1"/>
    <w:basedOn w:val="a0"/>
    <w:next w:val="ae"/>
    <w:link w:val="afb"/>
    <w:uiPriority w:val="99"/>
    <w:semiHidden/>
    <w:unhideWhenUsed/>
    <w:rsid w:val="00077C36"/>
    <w:pPr>
      <w:snapToGrid w:val="0"/>
      <w:jc w:val="left"/>
    </w:pPr>
    <w:rPr>
      <w:rFonts w:ascii="Calibri" w:hAnsi="Calibri"/>
      <w:sz w:val="21"/>
      <w:szCs w:val="24"/>
    </w:rPr>
  </w:style>
  <w:style w:type="character" w:customStyle="1" w:styleId="1c">
    <w:name w:val="未处理的提及1"/>
    <w:basedOn w:val="a1"/>
    <w:uiPriority w:val="99"/>
    <w:semiHidden/>
    <w:unhideWhenUsed/>
    <w:rsid w:val="00077C36"/>
    <w:rPr>
      <w:color w:val="605E5C"/>
      <w:shd w:val="clear" w:color="auto" w:fill="E1DFDD"/>
    </w:rPr>
  </w:style>
  <w:style w:type="paragraph" w:styleId="22">
    <w:name w:val="List 2"/>
    <w:basedOn w:val="a0"/>
    <w:rsid w:val="00077C36"/>
    <w:pPr>
      <w:ind w:leftChars="200" w:left="100" w:hangingChars="200" w:hanging="200"/>
    </w:pPr>
    <w:rPr>
      <w:rFonts w:ascii="Times New Roman" w:hAnsi="Times New Roman"/>
      <w:sz w:val="21"/>
      <w:szCs w:val="24"/>
    </w:rPr>
  </w:style>
  <w:style w:type="paragraph" w:styleId="aff6">
    <w:name w:val="Body Text Indent"/>
    <w:basedOn w:val="a0"/>
    <w:link w:val="aff7"/>
    <w:rsid w:val="00077C36"/>
    <w:pPr>
      <w:spacing w:after="120"/>
      <w:ind w:leftChars="200" w:left="420"/>
    </w:pPr>
    <w:rPr>
      <w:rFonts w:ascii="Times New Roman" w:hAnsi="Times New Roman"/>
      <w:sz w:val="21"/>
      <w:szCs w:val="24"/>
    </w:rPr>
  </w:style>
  <w:style w:type="character" w:customStyle="1" w:styleId="aff7">
    <w:name w:val="正文文本缩进 字符"/>
    <w:basedOn w:val="a1"/>
    <w:link w:val="aff6"/>
    <w:rsid w:val="00077C36"/>
    <w:rPr>
      <w:rFonts w:ascii="Times New Roman" w:hAnsi="Times New Roman"/>
      <w:kern w:val="2"/>
      <w:sz w:val="21"/>
      <w:szCs w:val="24"/>
    </w:rPr>
  </w:style>
  <w:style w:type="paragraph" w:customStyle="1" w:styleId="1d">
    <w:name w:val="列表段落1"/>
    <w:basedOn w:val="a0"/>
    <w:next w:val="af6"/>
    <w:uiPriority w:val="34"/>
    <w:qFormat/>
    <w:rsid w:val="00077C36"/>
    <w:pPr>
      <w:ind w:firstLineChars="200" w:firstLine="420"/>
    </w:pPr>
    <w:rPr>
      <w:rFonts w:asciiTheme="minorHAnsi" w:eastAsiaTheme="minorEastAsia" w:hAnsiTheme="minorHAnsi" w:cstheme="minorBidi"/>
      <w:bCs/>
      <w:sz w:val="21"/>
      <w:szCs w:val="21"/>
    </w:rPr>
  </w:style>
  <w:style w:type="character" w:customStyle="1" w:styleId="1e">
    <w:name w:val="批注框文本 字符1"/>
    <w:basedOn w:val="a1"/>
    <w:uiPriority w:val="99"/>
    <w:semiHidden/>
    <w:rsid w:val="00077C36"/>
    <w:rPr>
      <w:sz w:val="18"/>
      <w:szCs w:val="18"/>
    </w:rPr>
  </w:style>
  <w:style w:type="character" w:customStyle="1" w:styleId="1f">
    <w:name w:val="页眉 字符1"/>
    <w:basedOn w:val="a1"/>
    <w:uiPriority w:val="99"/>
    <w:rsid w:val="00077C36"/>
    <w:rPr>
      <w:sz w:val="18"/>
      <w:szCs w:val="18"/>
    </w:rPr>
  </w:style>
  <w:style w:type="character" w:customStyle="1" w:styleId="1f0">
    <w:name w:val="页脚 字符1"/>
    <w:basedOn w:val="a1"/>
    <w:uiPriority w:val="99"/>
    <w:rsid w:val="00077C36"/>
    <w:rPr>
      <w:sz w:val="18"/>
      <w:szCs w:val="18"/>
    </w:rPr>
  </w:style>
  <w:style w:type="character" w:styleId="aff8">
    <w:name w:val="FollowedHyperlink"/>
    <w:basedOn w:val="a1"/>
    <w:uiPriority w:val="99"/>
    <w:semiHidden/>
    <w:unhideWhenUsed/>
    <w:qFormat/>
    <w:rsid w:val="00077C36"/>
    <w:rPr>
      <w:color w:val="954F72" w:themeColor="followedHyperlink"/>
      <w:u w:val="single"/>
    </w:rPr>
  </w:style>
  <w:style w:type="character" w:customStyle="1" w:styleId="swbf">
    <w:name w:val="swbf"/>
    <w:basedOn w:val="a1"/>
    <w:rsid w:val="00781023"/>
  </w:style>
  <w:style w:type="character" w:customStyle="1" w:styleId="ywyy">
    <w:name w:val="ywyy"/>
    <w:basedOn w:val="a1"/>
    <w:rsid w:val="00781023"/>
  </w:style>
  <w:style w:type="character" w:customStyle="1" w:styleId="swdz">
    <w:name w:val="swdz"/>
    <w:basedOn w:val="a1"/>
    <w:rsid w:val="00781023"/>
  </w:style>
  <w:style w:type="character" w:customStyle="1" w:styleId="40">
    <w:name w:val="标题 4 字符"/>
    <w:basedOn w:val="a1"/>
    <w:link w:val="4"/>
    <w:uiPriority w:val="9"/>
    <w:semiHidden/>
    <w:qFormat/>
    <w:rsid w:val="00B806B1"/>
    <w:rPr>
      <w:rFonts w:asciiTheme="majorHAnsi" w:eastAsiaTheme="majorEastAsia" w:hAnsiTheme="majorHAnsi" w:cstheme="majorBidi"/>
      <w:b/>
      <w:bCs/>
      <w:sz w:val="28"/>
      <w:szCs w:val="28"/>
    </w:rPr>
  </w:style>
  <w:style w:type="character" w:customStyle="1" w:styleId="50">
    <w:name w:val="标题 5 字符"/>
    <w:basedOn w:val="a1"/>
    <w:uiPriority w:val="9"/>
    <w:semiHidden/>
    <w:qFormat/>
    <w:rsid w:val="00B806B1"/>
    <w:rPr>
      <w:rFonts w:ascii="宋体" w:hAnsi="宋体"/>
      <w:b/>
      <w:bCs/>
      <w:kern w:val="2"/>
      <w:sz w:val="28"/>
      <w:szCs w:val="28"/>
    </w:rPr>
  </w:style>
  <w:style w:type="paragraph" w:styleId="aff9">
    <w:name w:val="annotation text"/>
    <w:basedOn w:val="a0"/>
    <w:link w:val="affa"/>
    <w:uiPriority w:val="99"/>
    <w:semiHidden/>
    <w:unhideWhenUsed/>
    <w:qFormat/>
    <w:rsid w:val="00B806B1"/>
    <w:pPr>
      <w:widowControl/>
      <w:jc w:val="left"/>
    </w:pPr>
    <w:rPr>
      <w:rFonts w:cs="宋体"/>
      <w:kern w:val="0"/>
      <w:szCs w:val="24"/>
    </w:rPr>
  </w:style>
  <w:style w:type="character" w:customStyle="1" w:styleId="affa">
    <w:name w:val="批注文字 字符"/>
    <w:basedOn w:val="a1"/>
    <w:link w:val="aff9"/>
    <w:uiPriority w:val="99"/>
    <w:semiHidden/>
    <w:qFormat/>
    <w:rsid w:val="00B806B1"/>
    <w:rPr>
      <w:rFonts w:ascii="宋体" w:hAnsi="宋体" w:cs="宋体"/>
      <w:sz w:val="24"/>
      <w:szCs w:val="24"/>
    </w:rPr>
  </w:style>
  <w:style w:type="paragraph" w:styleId="affb">
    <w:name w:val="annotation subject"/>
    <w:basedOn w:val="aff9"/>
    <w:next w:val="aff9"/>
    <w:link w:val="affc"/>
    <w:uiPriority w:val="99"/>
    <w:semiHidden/>
    <w:unhideWhenUsed/>
    <w:qFormat/>
    <w:rsid w:val="00B806B1"/>
    <w:rPr>
      <w:b/>
      <w:bCs/>
    </w:rPr>
  </w:style>
  <w:style w:type="character" w:customStyle="1" w:styleId="affc">
    <w:name w:val="批注主题 字符"/>
    <w:basedOn w:val="affa"/>
    <w:link w:val="affb"/>
    <w:uiPriority w:val="99"/>
    <w:semiHidden/>
    <w:qFormat/>
    <w:rsid w:val="00B806B1"/>
    <w:rPr>
      <w:rFonts w:ascii="宋体" w:hAnsi="宋体" w:cs="宋体"/>
      <w:b/>
      <w:bCs/>
      <w:sz w:val="24"/>
      <w:szCs w:val="24"/>
    </w:rPr>
  </w:style>
  <w:style w:type="character" w:styleId="affd">
    <w:name w:val="annotation reference"/>
    <w:basedOn w:val="a1"/>
    <w:uiPriority w:val="99"/>
    <w:semiHidden/>
    <w:unhideWhenUsed/>
    <w:qFormat/>
    <w:rsid w:val="00B806B1"/>
    <w:rPr>
      <w:sz w:val="21"/>
      <w:szCs w:val="21"/>
    </w:rPr>
  </w:style>
  <w:style w:type="character" w:customStyle="1" w:styleId="affe">
    <w:name w:val="造字"/>
    <w:qFormat/>
    <w:rsid w:val="00B806B1"/>
    <w:rPr>
      <w:rFonts w:ascii="经典繁超宋" w:eastAsia="宋体-方正超大字符集"/>
      <w:sz w:val="32"/>
      <w:szCs w:val="52"/>
      <w:lang w:eastAsia="zh-CN"/>
    </w:rPr>
  </w:style>
  <w:style w:type="character" w:customStyle="1" w:styleId="1f1">
    <w:name w:val="未处理的提及1"/>
    <w:basedOn w:val="a1"/>
    <w:uiPriority w:val="99"/>
    <w:semiHidden/>
    <w:unhideWhenUsed/>
    <w:qFormat/>
    <w:rsid w:val="00B806B1"/>
    <w:rPr>
      <w:color w:val="605E5C"/>
      <w:shd w:val="clear" w:color="auto" w:fill="E1DFDD"/>
    </w:rPr>
  </w:style>
  <w:style w:type="character" w:customStyle="1" w:styleId="51">
    <w:name w:val="标题 5 字符1"/>
    <w:basedOn w:val="a1"/>
    <w:link w:val="5"/>
    <w:uiPriority w:val="9"/>
    <w:semiHidden/>
    <w:qFormat/>
    <w:rsid w:val="00B806B1"/>
    <w:rPr>
      <w:rFonts w:ascii="宋体" w:hAnsi="宋体" w:cs="宋体"/>
      <w:b/>
      <w:bCs/>
      <w:sz w:val="28"/>
      <w:szCs w:val="28"/>
    </w:rPr>
  </w:style>
  <w:style w:type="character" w:customStyle="1" w:styleId="afff">
    <w:name w:val="反切"/>
    <w:rsid w:val="00F001B7"/>
    <w:rPr>
      <w:rFonts w:ascii="宋体" w:eastAsia="宋体-方正超大字符集" w:hAnsi="宋体"/>
      <w:noProof/>
      <w:color w:val="800000"/>
      <w:sz w:val="15"/>
      <w:szCs w:val="15"/>
    </w:rPr>
  </w:style>
  <w:style w:type="character" w:customStyle="1" w:styleId="afff0">
    <w:name w:val="控呇湮佽恅苤蚼 红色"/>
    <w:rsid w:val="00F001B7"/>
    <w:rPr>
      <w:rFonts w:ascii="控呇湮佽恅苤蚼" w:eastAsia="控呇湮佽恅苤蚼" w:hAnsi="控呇湮佽恅苤蚼"/>
      <w:color w:val="FF0000"/>
    </w:rPr>
  </w:style>
  <w:style w:type="character" w:customStyle="1" w:styleId="fieldname">
    <w:name w:val="fieldname"/>
    <w:basedOn w:val="a1"/>
    <w:rsid w:val="00F001B7"/>
  </w:style>
  <w:style w:type="character" w:customStyle="1" w:styleId="fieldvalue">
    <w:name w:val="fieldvalue"/>
    <w:basedOn w:val="a1"/>
    <w:qFormat/>
    <w:rsid w:val="00F001B7"/>
  </w:style>
  <w:style w:type="character" w:customStyle="1" w:styleId="number">
    <w:name w:val="number"/>
    <w:rsid w:val="00F001B7"/>
    <w:rPr>
      <w:color w:val="0033FF"/>
    </w:rPr>
  </w:style>
  <w:style w:type="character" w:customStyle="1" w:styleId="lzspan">
    <w:name w:val="lzspan"/>
    <w:rsid w:val="00F001B7"/>
  </w:style>
  <w:style w:type="paragraph" w:styleId="afff1">
    <w:name w:val="Subtitle"/>
    <w:basedOn w:val="a0"/>
    <w:next w:val="a0"/>
    <w:link w:val="afff2"/>
    <w:uiPriority w:val="11"/>
    <w:qFormat/>
    <w:rsid w:val="00526AE6"/>
    <w:pPr>
      <w:spacing w:before="240" w:after="60" w:line="312" w:lineRule="auto"/>
      <w:jc w:val="center"/>
      <w:outlineLvl w:val="1"/>
    </w:pPr>
    <w:rPr>
      <w:rFonts w:ascii="Arial" w:hAnsi="Arial"/>
      <w:b/>
      <w:bCs/>
      <w:kern w:val="28"/>
      <w:szCs w:val="32"/>
    </w:rPr>
  </w:style>
  <w:style w:type="character" w:customStyle="1" w:styleId="afff2">
    <w:name w:val="副标题 字符"/>
    <w:basedOn w:val="a1"/>
    <w:link w:val="afff1"/>
    <w:uiPriority w:val="11"/>
    <w:rsid w:val="00526AE6"/>
    <w:rPr>
      <w:rFonts w:ascii="Arial" w:hAnsi="Arial"/>
      <w:b/>
      <w:bCs/>
      <w:kern w:val="28"/>
      <w:sz w:val="24"/>
      <w:szCs w:val="32"/>
    </w:rPr>
  </w:style>
  <w:style w:type="paragraph" w:customStyle="1" w:styleId="a">
    <w:name w:val="論著"/>
    <w:basedOn w:val="af6"/>
    <w:link w:val="afff3"/>
    <w:qFormat/>
    <w:rsid w:val="00526AE6"/>
    <w:pPr>
      <w:numPr>
        <w:numId w:val="40"/>
      </w:numPr>
      <w:wordWrap w:val="0"/>
      <w:spacing w:line="360" w:lineRule="auto"/>
      <w:ind w:left="420" w:firstLineChars="0" w:hanging="420"/>
    </w:pPr>
    <w:rPr>
      <w:szCs w:val="28"/>
    </w:rPr>
  </w:style>
  <w:style w:type="character" w:customStyle="1" w:styleId="afff3">
    <w:name w:val="論著 字符"/>
    <w:basedOn w:val="a1"/>
    <w:link w:val="a"/>
    <w:rsid w:val="00526AE6"/>
    <w:rPr>
      <w:rFonts w:ascii="宋体" w:hAnsi="宋体"/>
      <w:kern w:val="2"/>
      <w:sz w:val="24"/>
      <w:szCs w:val="28"/>
    </w:rPr>
  </w:style>
  <w:style w:type="character" w:customStyle="1" w:styleId="nyfontcontent">
    <w:name w:val="ny_font_content"/>
    <w:basedOn w:val="a1"/>
    <w:rsid w:val="00526AE6"/>
  </w:style>
  <w:style w:type="character" w:styleId="afff4">
    <w:name w:val="Unresolved Mention"/>
    <w:basedOn w:val="a1"/>
    <w:uiPriority w:val="99"/>
    <w:semiHidden/>
    <w:unhideWhenUsed/>
    <w:rsid w:val="00526AE6"/>
    <w:rPr>
      <w:color w:val="605E5C"/>
      <w:shd w:val="clear" w:color="auto" w:fill="E1DFDD"/>
    </w:rPr>
  </w:style>
  <w:style w:type="character" w:customStyle="1" w:styleId="zi21">
    <w:name w:val="zi21"/>
    <w:basedOn w:val="a1"/>
    <w:rsid w:val="00526AE6"/>
    <w:rPr>
      <w:rFonts w:ascii="KaiXinSong" w:eastAsia="KaiXinSong" w:hAnsi="KaiXinSong" w:hint="eastAsia"/>
    </w:rPr>
  </w:style>
  <w:style w:type="paragraph" w:customStyle="1" w:styleId="afff5">
    <w:name w:val="样式"/>
    <w:rsid w:val="00526AE6"/>
    <w:pPr>
      <w:widowControl w:val="0"/>
      <w:autoSpaceDE w:val="0"/>
      <w:autoSpaceDN w:val="0"/>
      <w:adjustRightInd w:val="0"/>
    </w:pPr>
    <w:rPr>
      <w:rFonts w:ascii="宋体" w:hAnsi="Times New Roman" w:cs="宋体"/>
      <w:sz w:val="24"/>
      <w:szCs w:val="24"/>
    </w:rPr>
  </w:style>
  <w:style w:type="table" w:customStyle="1" w:styleId="1f2">
    <w:name w:val="网格型1"/>
    <w:basedOn w:val="a2"/>
    <w:next w:val="aff3"/>
    <w:uiPriority w:val="59"/>
    <w:rsid w:val="0072647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ooltip">
    <w:name w:val="title-tooltip"/>
    <w:basedOn w:val="a1"/>
    <w:qFormat/>
    <w:rsid w:val="004C4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32">
      <w:bodyDiv w:val="1"/>
      <w:marLeft w:val="0"/>
      <w:marRight w:val="0"/>
      <w:marTop w:val="0"/>
      <w:marBottom w:val="0"/>
      <w:divBdr>
        <w:top w:val="none" w:sz="0" w:space="0" w:color="auto"/>
        <w:left w:val="none" w:sz="0" w:space="0" w:color="auto"/>
        <w:bottom w:val="none" w:sz="0" w:space="0" w:color="auto"/>
        <w:right w:val="none" w:sz="0" w:space="0" w:color="auto"/>
      </w:divBdr>
    </w:div>
    <w:div w:id="71707203">
      <w:bodyDiv w:val="1"/>
      <w:marLeft w:val="0"/>
      <w:marRight w:val="0"/>
      <w:marTop w:val="0"/>
      <w:marBottom w:val="0"/>
      <w:divBdr>
        <w:top w:val="none" w:sz="0" w:space="0" w:color="auto"/>
        <w:left w:val="none" w:sz="0" w:space="0" w:color="auto"/>
        <w:bottom w:val="none" w:sz="0" w:space="0" w:color="auto"/>
        <w:right w:val="none" w:sz="0" w:space="0" w:color="auto"/>
      </w:divBdr>
    </w:div>
    <w:div w:id="269971214">
      <w:bodyDiv w:val="1"/>
      <w:marLeft w:val="0"/>
      <w:marRight w:val="0"/>
      <w:marTop w:val="0"/>
      <w:marBottom w:val="0"/>
      <w:divBdr>
        <w:top w:val="none" w:sz="0" w:space="0" w:color="auto"/>
        <w:left w:val="none" w:sz="0" w:space="0" w:color="auto"/>
        <w:bottom w:val="none" w:sz="0" w:space="0" w:color="auto"/>
        <w:right w:val="none" w:sz="0" w:space="0" w:color="auto"/>
      </w:divBdr>
      <w:divsChild>
        <w:div w:id="1508248313">
          <w:marLeft w:val="0"/>
          <w:marRight w:val="0"/>
          <w:marTop w:val="0"/>
          <w:marBottom w:val="0"/>
          <w:divBdr>
            <w:top w:val="none" w:sz="0" w:space="0" w:color="auto"/>
            <w:left w:val="none" w:sz="0" w:space="0" w:color="auto"/>
            <w:bottom w:val="none" w:sz="0" w:space="0" w:color="auto"/>
            <w:right w:val="none" w:sz="0" w:space="0" w:color="auto"/>
          </w:divBdr>
          <w:divsChild>
            <w:div w:id="308436250">
              <w:marLeft w:val="0"/>
              <w:marRight w:val="0"/>
              <w:marTop w:val="0"/>
              <w:marBottom w:val="0"/>
              <w:divBdr>
                <w:top w:val="none" w:sz="0" w:space="0" w:color="auto"/>
                <w:left w:val="none" w:sz="0" w:space="0" w:color="auto"/>
                <w:bottom w:val="none" w:sz="0" w:space="0" w:color="auto"/>
                <w:right w:val="none" w:sz="0" w:space="0" w:color="auto"/>
              </w:divBdr>
              <w:divsChild>
                <w:div w:id="89932428">
                  <w:marLeft w:val="0"/>
                  <w:marRight w:val="0"/>
                  <w:marTop w:val="0"/>
                  <w:marBottom w:val="0"/>
                  <w:divBdr>
                    <w:top w:val="none" w:sz="0" w:space="0" w:color="auto"/>
                    <w:left w:val="none" w:sz="0" w:space="0" w:color="auto"/>
                    <w:bottom w:val="none" w:sz="0" w:space="0" w:color="auto"/>
                    <w:right w:val="none" w:sz="0" w:space="0" w:color="auto"/>
                  </w:divBdr>
                  <w:divsChild>
                    <w:div w:id="18854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113952">
      <w:bodyDiv w:val="1"/>
      <w:marLeft w:val="0"/>
      <w:marRight w:val="0"/>
      <w:marTop w:val="0"/>
      <w:marBottom w:val="0"/>
      <w:divBdr>
        <w:top w:val="none" w:sz="0" w:space="0" w:color="auto"/>
        <w:left w:val="none" w:sz="0" w:space="0" w:color="auto"/>
        <w:bottom w:val="none" w:sz="0" w:space="0" w:color="auto"/>
        <w:right w:val="none" w:sz="0" w:space="0" w:color="auto"/>
      </w:divBdr>
    </w:div>
    <w:div w:id="384960509">
      <w:bodyDiv w:val="1"/>
      <w:marLeft w:val="0"/>
      <w:marRight w:val="0"/>
      <w:marTop w:val="0"/>
      <w:marBottom w:val="0"/>
      <w:divBdr>
        <w:top w:val="none" w:sz="0" w:space="0" w:color="auto"/>
        <w:left w:val="none" w:sz="0" w:space="0" w:color="auto"/>
        <w:bottom w:val="none" w:sz="0" w:space="0" w:color="auto"/>
        <w:right w:val="none" w:sz="0" w:space="0" w:color="auto"/>
      </w:divBdr>
      <w:divsChild>
        <w:div w:id="1327242089">
          <w:marLeft w:val="0"/>
          <w:marRight w:val="0"/>
          <w:marTop w:val="0"/>
          <w:marBottom w:val="0"/>
          <w:divBdr>
            <w:top w:val="none" w:sz="0" w:space="0" w:color="auto"/>
            <w:left w:val="none" w:sz="0" w:space="0" w:color="auto"/>
            <w:bottom w:val="none" w:sz="0" w:space="0" w:color="auto"/>
            <w:right w:val="none" w:sz="0" w:space="0" w:color="auto"/>
          </w:divBdr>
          <w:divsChild>
            <w:div w:id="1189029639">
              <w:marLeft w:val="0"/>
              <w:marRight w:val="0"/>
              <w:marTop w:val="0"/>
              <w:marBottom w:val="0"/>
              <w:divBdr>
                <w:top w:val="none" w:sz="0" w:space="0" w:color="auto"/>
                <w:left w:val="none" w:sz="0" w:space="0" w:color="auto"/>
                <w:bottom w:val="none" w:sz="0" w:space="0" w:color="auto"/>
                <w:right w:val="none" w:sz="0" w:space="0" w:color="auto"/>
              </w:divBdr>
              <w:divsChild>
                <w:div w:id="1252080326">
                  <w:marLeft w:val="0"/>
                  <w:marRight w:val="0"/>
                  <w:marTop w:val="0"/>
                  <w:marBottom w:val="0"/>
                  <w:divBdr>
                    <w:top w:val="none" w:sz="0" w:space="0" w:color="auto"/>
                    <w:left w:val="none" w:sz="0" w:space="0" w:color="auto"/>
                    <w:bottom w:val="none" w:sz="0" w:space="0" w:color="auto"/>
                    <w:right w:val="none" w:sz="0" w:space="0" w:color="auto"/>
                  </w:divBdr>
                  <w:divsChild>
                    <w:div w:id="2716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438465">
      <w:bodyDiv w:val="1"/>
      <w:marLeft w:val="0"/>
      <w:marRight w:val="0"/>
      <w:marTop w:val="0"/>
      <w:marBottom w:val="0"/>
      <w:divBdr>
        <w:top w:val="none" w:sz="0" w:space="0" w:color="auto"/>
        <w:left w:val="none" w:sz="0" w:space="0" w:color="auto"/>
        <w:bottom w:val="none" w:sz="0" w:space="0" w:color="auto"/>
        <w:right w:val="none" w:sz="0" w:space="0" w:color="auto"/>
      </w:divBdr>
    </w:div>
    <w:div w:id="463043999">
      <w:bodyDiv w:val="1"/>
      <w:marLeft w:val="0"/>
      <w:marRight w:val="0"/>
      <w:marTop w:val="0"/>
      <w:marBottom w:val="0"/>
      <w:divBdr>
        <w:top w:val="none" w:sz="0" w:space="0" w:color="auto"/>
        <w:left w:val="none" w:sz="0" w:space="0" w:color="auto"/>
        <w:bottom w:val="none" w:sz="0" w:space="0" w:color="auto"/>
        <w:right w:val="none" w:sz="0" w:space="0" w:color="auto"/>
      </w:divBdr>
    </w:div>
    <w:div w:id="534731491">
      <w:bodyDiv w:val="1"/>
      <w:marLeft w:val="0"/>
      <w:marRight w:val="0"/>
      <w:marTop w:val="0"/>
      <w:marBottom w:val="0"/>
      <w:divBdr>
        <w:top w:val="none" w:sz="0" w:space="0" w:color="auto"/>
        <w:left w:val="none" w:sz="0" w:space="0" w:color="auto"/>
        <w:bottom w:val="none" w:sz="0" w:space="0" w:color="auto"/>
        <w:right w:val="none" w:sz="0" w:space="0" w:color="auto"/>
      </w:divBdr>
    </w:div>
    <w:div w:id="564343844">
      <w:bodyDiv w:val="1"/>
      <w:marLeft w:val="0"/>
      <w:marRight w:val="0"/>
      <w:marTop w:val="0"/>
      <w:marBottom w:val="0"/>
      <w:divBdr>
        <w:top w:val="none" w:sz="0" w:space="0" w:color="auto"/>
        <w:left w:val="none" w:sz="0" w:space="0" w:color="auto"/>
        <w:bottom w:val="none" w:sz="0" w:space="0" w:color="auto"/>
        <w:right w:val="none" w:sz="0" w:space="0" w:color="auto"/>
      </w:divBdr>
      <w:divsChild>
        <w:div w:id="80222572">
          <w:blockQuote w:val="1"/>
          <w:marLeft w:val="600"/>
          <w:marRight w:val="0"/>
          <w:marTop w:val="0"/>
          <w:marBottom w:val="0"/>
          <w:divBdr>
            <w:top w:val="none" w:sz="0" w:space="0" w:color="auto"/>
            <w:left w:val="none" w:sz="0" w:space="0" w:color="auto"/>
            <w:bottom w:val="none" w:sz="0" w:space="0" w:color="auto"/>
            <w:right w:val="none" w:sz="0" w:space="0" w:color="auto"/>
          </w:divBdr>
          <w:divsChild>
            <w:div w:id="537087458">
              <w:marLeft w:val="0"/>
              <w:marRight w:val="0"/>
              <w:marTop w:val="0"/>
              <w:marBottom w:val="0"/>
              <w:divBdr>
                <w:top w:val="none" w:sz="0" w:space="0" w:color="auto"/>
                <w:left w:val="none" w:sz="0" w:space="0" w:color="auto"/>
                <w:bottom w:val="none" w:sz="0" w:space="0" w:color="auto"/>
                <w:right w:val="none" w:sz="0" w:space="0" w:color="auto"/>
              </w:divBdr>
              <w:divsChild>
                <w:div w:id="22688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41433">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123214">
              <w:marLeft w:val="0"/>
              <w:marRight w:val="0"/>
              <w:marTop w:val="0"/>
              <w:marBottom w:val="0"/>
              <w:divBdr>
                <w:top w:val="none" w:sz="0" w:space="0" w:color="auto"/>
                <w:left w:val="none" w:sz="0" w:space="0" w:color="auto"/>
                <w:bottom w:val="none" w:sz="0" w:space="0" w:color="auto"/>
                <w:right w:val="none" w:sz="0" w:space="0" w:color="auto"/>
              </w:divBdr>
            </w:div>
            <w:div w:id="1399092834">
              <w:marLeft w:val="0"/>
              <w:marRight w:val="0"/>
              <w:marTop w:val="0"/>
              <w:marBottom w:val="0"/>
              <w:divBdr>
                <w:top w:val="none" w:sz="0" w:space="0" w:color="auto"/>
                <w:left w:val="none" w:sz="0" w:space="0" w:color="auto"/>
                <w:bottom w:val="none" w:sz="0" w:space="0" w:color="auto"/>
                <w:right w:val="none" w:sz="0" w:space="0" w:color="auto"/>
              </w:divBdr>
            </w:div>
            <w:div w:id="991056445">
              <w:marLeft w:val="0"/>
              <w:marRight w:val="0"/>
              <w:marTop w:val="0"/>
              <w:marBottom w:val="0"/>
              <w:divBdr>
                <w:top w:val="none" w:sz="0" w:space="0" w:color="auto"/>
                <w:left w:val="none" w:sz="0" w:space="0" w:color="auto"/>
                <w:bottom w:val="none" w:sz="0" w:space="0" w:color="auto"/>
                <w:right w:val="none" w:sz="0" w:space="0" w:color="auto"/>
              </w:divBdr>
            </w:div>
            <w:div w:id="2003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0696">
      <w:bodyDiv w:val="1"/>
      <w:marLeft w:val="0"/>
      <w:marRight w:val="0"/>
      <w:marTop w:val="0"/>
      <w:marBottom w:val="0"/>
      <w:divBdr>
        <w:top w:val="none" w:sz="0" w:space="0" w:color="auto"/>
        <w:left w:val="none" w:sz="0" w:space="0" w:color="auto"/>
        <w:bottom w:val="none" w:sz="0" w:space="0" w:color="auto"/>
        <w:right w:val="none" w:sz="0" w:space="0" w:color="auto"/>
      </w:divBdr>
    </w:div>
    <w:div w:id="784422503">
      <w:bodyDiv w:val="1"/>
      <w:marLeft w:val="0"/>
      <w:marRight w:val="0"/>
      <w:marTop w:val="0"/>
      <w:marBottom w:val="0"/>
      <w:divBdr>
        <w:top w:val="none" w:sz="0" w:space="0" w:color="auto"/>
        <w:left w:val="none" w:sz="0" w:space="0" w:color="auto"/>
        <w:bottom w:val="none" w:sz="0" w:space="0" w:color="auto"/>
        <w:right w:val="none" w:sz="0" w:space="0" w:color="auto"/>
      </w:divBdr>
    </w:div>
    <w:div w:id="841970565">
      <w:bodyDiv w:val="1"/>
      <w:marLeft w:val="0"/>
      <w:marRight w:val="0"/>
      <w:marTop w:val="0"/>
      <w:marBottom w:val="0"/>
      <w:divBdr>
        <w:top w:val="none" w:sz="0" w:space="0" w:color="auto"/>
        <w:left w:val="none" w:sz="0" w:space="0" w:color="auto"/>
        <w:bottom w:val="none" w:sz="0" w:space="0" w:color="auto"/>
        <w:right w:val="none" w:sz="0" w:space="0" w:color="auto"/>
      </w:divBdr>
    </w:div>
    <w:div w:id="871304471">
      <w:bodyDiv w:val="1"/>
      <w:marLeft w:val="0"/>
      <w:marRight w:val="0"/>
      <w:marTop w:val="0"/>
      <w:marBottom w:val="0"/>
      <w:divBdr>
        <w:top w:val="none" w:sz="0" w:space="0" w:color="auto"/>
        <w:left w:val="none" w:sz="0" w:space="0" w:color="auto"/>
        <w:bottom w:val="none" w:sz="0" w:space="0" w:color="auto"/>
        <w:right w:val="none" w:sz="0" w:space="0" w:color="auto"/>
      </w:divBdr>
    </w:div>
    <w:div w:id="915548943">
      <w:bodyDiv w:val="1"/>
      <w:marLeft w:val="0"/>
      <w:marRight w:val="0"/>
      <w:marTop w:val="0"/>
      <w:marBottom w:val="0"/>
      <w:divBdr>
        <w:top w:val="none" w:sz="0" w:space="0" w:color="auto"/>
        <w:left w:val="none" w:sz="0" w:space="0" w:color="auto"/>
        <w:bottom w:val="none" w:sz="0" w:space="0" w:color="auto"/>
        <w:right w:val="none" w:sz="0" w:space="0" w:color="auto"/>
      </w:divBdr>
    </w:div>
    <w:div w:id="1074738655">
      <w:bodyDiv w:val="1"/>
      <w:marLeft w:val="0"/>
      <w:marRight w:val="0"/>
      <w:marTop w:val="0"/>
      <w:marBottom w:val="0"/>
      <w:divBdr>
        <w:top w:val="none" w:sz="0" w:space="0" w:color="auto"/>
        <w:left w:val="none" w:sz="0" w:space="0" w:color="auto"/>
        <w:bottom w:val="none" w:sz="0" w:space="0" w:color="auto"/>
        <w:right w:val="none" w:sz="0" w:space="0" w:color="auto"/>
      </w:divBdr>
      <w:divsChild>
        <w:div w:id="1915434422">
          <w:marLeft w:val="0"/>
          <w:marRight w:val="0"/>
          <w:marTop w:val="0"/>
          <w:marBottom w:val="0"/>
          <w:divBdr>
            <w:top w:val="none" w:sz="0" w:space="0" w:color="auto"/>
            <w:left w:val="none" w:sz="0" w:space="0" w:color="auto"/>
            <w:bottom w:val="none" w:sz="0" w:space="0" w:color="auto"/>
            <w:right w:val="none" w:sz="0" w:space="0" w:color="auto"/>
          </w:divBdr>
        </w:div>
        <w:div w:id="516385895">
          <w:marLeft w:val="0"/>
          <w:marRight w:val="0"/>
          <w:marTop w:val="0"/>
          <w:marBottom w:val="0"/>
          <w:divBdr>
            <w:top w:val="none" w:sz="0" w:space="0" w:color="auto"/>
            <w:left w:val="none" w:sz="0" w:space="0" w:color="auto"/>
            <w:bottom w:val="none" w:sz="0" w:space="0" w:color="auto"/>
            <w:right w:val="none" w:sz="0" w:space="0" w:color="auto"/>
          </w:divBdr>
        </w:div>
        <w:div w:id="1278370821">
          <w:marLeft w:val="0"/>
          <w:marRight w:val="0"/>
          <w:marTop w:val="0"/>
          <w:marBottom w:val="0"/>
          <w:divBdr>
            <w:top w:val="none" w:sz="0" w:space="0" w:color="auto"/>
            <w:left w:val="none" w:sz="0" w:space="0" w:color="auto"/>
            <w:bottom w:val="none" w:sz="0" w:space="0" w:color="auto"/>
            <w:right w:val="none" w:sz="0" w:space="0" w:color="auto"/>
          </w:divBdr>
        </w:div>
      </w:divsChild>
    </w:div>
    <w:div w:id="1156653572">
      <w:bodyDiv w:val="1"/>
      <w:marLeft w:val="0"/>
      <w:marRight w:val="0"/>
      <w:marTop w:val="0"/>
      <w:marBottom w:val="0"/>
      <w:divBdr>
        <w:top w:val="none" w:sz="0" w:space="0" w:color="auto"/>
        <w:left w:val="none" w:sz="0" w:space="0" w:color="auto"/>
        <w:bottom w:val="none" w:sz="0" w:space="0" w:color="auto"/>
        <w:right w:val="none" w:sz="0" w:space="0" w:color="auto"/>
      </w:divBdr>
    </w:div>
    <w:div w:id="1352416770">
      <w:bodyDiv w:val="1"/>
      <w:marLeft w:val="0"/>
      <w:marRight w:val="0"/>
      <w:marTop w:val="0"/>
      <w:marBottom w:val="0"/>
      <w:divBdr>
        <w:top w:val="none" w:sz="0" w:space="0" w:color="auto"/>
        <w:left w:val="none" w:sz="0" w:space="0" w:color="auto"/>
        <w:bottom w:val="none" w:sz="0" w:space="0" w:color="auto"/>
        <w:right w:val="none" w:sz="0" w:space="0" w:color="auto"/>
      </w:divBdr>
    </w:div>
    <w:div w:id="1450470448">
      <w:bodyDiv w:val="1"/>
      <w:marLeft w:val="0"/>
      <w:marRight w:val="0"/>
      <w:marTop w:val="0"/>
      <w:marBottom w:val="0"/>
      <w:divBdr>
        <w:top w:val="none" w:sz="0" w:space="0" w:color="auto"/>
        <w:left w:val="none" w:sz="0" w:space="0" w:color="auto"/>
        <w:bottom w:val="none" w:sz="0" w:space="0" w:color="auto"/>
        <w:right w:val="none" w:sz="0" w:space="0" w:color="auto"/>
      </w:divBdr>
    </w:div>
    <w:div w:id="1511525297">
      <w:bodyDiv w:val="1"/>
      <w:marLeft w:val="0"/>
      <w:marRight w:val="0"/>
      <w:marTop w:val="0"/>
      <w:marBottom w:val="0"/>
      <w:divBdr>
        <w:top w:val="none" w:sz="0" w:space="0" w:color="auto"/>
        <w:left w:val="none" w:sz="0" w:space="0" w:color="auto"/>
        <w:bottom w:val="none" w:sz="0" w:space="0" w:color="auto"/>
        <w:right w:val="none" w:sz="0" w:space="0" w:color="auto"/>
      </w:divBdr>
    </w:div>
    <w:div w:id="1610308345">
      <w:bodyDiv w:val="1"/>
      <w:marLeft w:val="0"/>
      <w:marRight w:val="0"/>
      <w:marTop w:val="0"/>
      <w:marBottom w:val="0"/>
      <w:divBdr>
        <w:top w:val="none" w:sz="0" w:space="0" w:color="auto"/>
        <w:left w:val="none" w:sz="0" w:space="0" w:color="auto"/>
        <w:bottom w:val="none" w:sz="0" w:space="0" w:color="auto"/>
        <w:right w:val="none" w:sz="0" w:space="0" w:color="auto"/>
      </w:divBdr>
    </w:div>
    <w:div w:id="1671643870">
      <w:bodyDiv w:val="1"/>
      <w:marLeft w:val="0"/>
      <w:marRight w:val="0"/>
      <w:marTop w:val="0"/>
      <w:marBottom w:val="0"/>
      <w:divBdr>
        <w:top w:val="none" w:sz="0" w:space="0" w:color="auto"/>
        <w:left w:val="none" w:sz="0" w:space="0" w:color="auto"/>
        <w:bottom w:val="none" w:sz="0" w:space="0" w:color="auto"/>
        <w:right w:val="none" w:sz="0" w:space="0" w:color="auto"/>
      </w:divBdr>
    </w:div>
    <w:div w:id="1674650040">
      <w:bodyDiv w:val="1"/>
      <w:marLeft w:val="0"/>
      <w:marRight w:val="0"/>
      <w:marTop w:val="0"/>
      <w:marBottom w:val="0"/>
      <w:divBdr>
        <w:top w:val="none" w:sz="0" w:space="0" w:color="auto"/>
        <w:left w:val="none" w:sz="0" w:space="0" w:color="auto"/>
        <w:bottom w:val="none" w:sz="0" w:space="0" w:color="auto"/>
        <w:right w:val="none" w:sz="0" w:space="0" w:color="auto"/>
      </w:divBdr>
    </w:div>
    <w:div w:id="1979724881">
      <w:bodyDiv w:val="1"/>
      <w:marLeft w:val="0"/>
      <w:marRight w:val="0"/>
      <w:marTop w:val="0"/>
      <w:marBottom w:val="0"/>
      <w:divBdr>
        <w:top w:val="none" w:sz="0" w:space="0" w:color="auto"/>
        <w:left w:val="none" w:sz="0" w:space="0" w:color="auto"/>
        <w:bottom w:val="none" w:sz="0" w:space="0" w:color="auto"/>
        <w:right w:val="none" w:sz="0" w:space="0" w:color="auto"/>
      </w:divBdr>
    </w:div>
    <w:div w:id="213053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C2666-F1E7-49F1-8454-8994EE929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1011</Words>
  <Characters>5769</Characters>
  <Application>Microsoft Office Word</Application>
  <DocSecurity>0</DocSecurity>
  <Lines>48</Lines>
  <Paragraphs>13</Paragraphs>
  <ScaleCrop>false</ScaleCrop>
  <Company>GWZ</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復旦大學出土文獻與古文字研究中心</dc:title>
  <dc:subject>復旦大學出土文獻與古文字研究中心</dc:subject>
  <dc:creator>gwz</dc:creator>
  <cp:keywords/>
  <dc:description/>
  <cp:lastModifiedBy>8618154635560</cp:lastModifiedBy>
  <cp:revision>8</cp:revision>
  <dcterms:created xsi:type="dcterms:W3CDTF">2026-10-17T07:39:00Z</dcterms:created>
  <dcterms:modified xsi:type="dcterms:W3CDTF">2026-10-22T14:54:00Z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309ff620ad76616861290f234b7f9af256d5ee33649d63cb7ce801945e0e44d0</vt:lpwstr>
  </property>
</Properties>
</file>